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海口市综合行政执法局龙华分局卫生健康行政执法大队</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海口市综合行政执法局龙华分局卫生健康行政执法大队</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海口市综合行政执法局龙华分局卫生健康行政执法大队</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（一）贯彻执行党和国家有关卫生监督、计划生育、健康教育、殡葬管理等行政执法的方针政策和相关法律法规，落实省委、市委决策部署以及海南自由贸易港建设的政策措施，制 定本辖区内卫生监督、计划生育、健康教育、殡葬管理等行政 执法工作计划并组织实施。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二）根据《海口市综合行政执法事项清单目录》（区级清单）规定的管理权限，依法行使本辖区内的卫生监督、计划生育、健康教育、殡葬管理等方面法律、法规、规章规定的行政处罚权及其相关的行政检查权和行政强制权。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（三）负责对全区卫生健康行政执法队伍的业务指导、监督检查和教育培训等工作，并指导、协调各镇（街道）综合行政执法中队开展卫生监督、计划生育、健康教育、殡葬管理等方面的行政执法工作。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（四）负责组织开展卫生监督、计划生育、健康教育、殡葬管理等领域的全区性、跨镇（街道）重大执法行动和专项整治活动。</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（五）负责卫生监督、计划生育、健康教育、殡葬管理等领域行政执法事项的举报、投诉、信访进行受理并回复。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（六）负责卫生监督、计划生育、健康教育、殡葬管理等领域行政执法信息资料的收集、统计、分析、传递与整理归档工作。</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（七）配合分局做好与相关业务主管部门之间的行政执法双向告知、案件移送、信息共享和执法协作配合等工作。 </w:t>
      </w:r>
    </w:p>
    <w:p>
      <w:pPr>
        <w:keepNext w:val="0"/>
        <w:keepLines w:val="0"/>
        <w:widowControl/>
        <w:suppressLineNumbers w:val="0"/>
        <w:ind w:firstLine="640" w:firstLineChars="200"/>
        <w:jc w:val="left"/>
        <w:rPr>
          <w:sz w:val="32"/>
          <w:szCs w:val="32"/>
        </w:rPr>
      </w:pPr>
      <w:r>
        <w:rPr>
          <w:rFonts w:ascii="仿宋_GB2312" w:hAnsi="仿宋_GB2312" w:eastAsia="仿宋_GB2312" w:cs="仿宋_GB2312"/>
          <w:color w:val="000000"/>
          <w:kern w:val="0"/>
          <w:sz w:val="32"/>
          <w:szCs w:val="32"/>
          <w:lang w:val="en-US" w:eastAsia="zh-CN" w:bidi="ar"/>
        </w:rPr>
        <w:t xml:space="preserve">（八）参与卫生监督、计划生育、健康教育、殡葬管理等领域行政执法有关法规、规章、规范性文件的调研、起草、修订和宣传工作。 </w:t>
      </w:r>
    </w:p>
    <w:p>
      <w:pPr>
        <w:pStyle w:val="6"/>
        <w:numPr>
          <w:ilvl w:val="0"/>
          <w:numId w:val="0"/>
        </w:numPr>
        <w:ind w:leftChars="0"/>
        <w:jc w:val="left"/>
        <w:rPr>
          <w:rFonts w:hint="default" w:ascii="黑体" w:hAnsi="黑体" w:eastAsia="黑体" w:cs="仿宋_GB2312"/>
          <w:sz w:val="32"/>
          <w:szCs w:val="32"/>
          <w:lang w:val="en-US" w:eastAsia="zh-CN"/>
        </w:rPr>
      </w:pPr>
      <w:r>
        <w:rPr>
          <w:rFonts w:ascii="仿宋_GB2312" w:hAnsi="仿宋_GB2312" w:eastAsia="仿宋_GB2312" w:cs="仿宋_GB2312"/>
          <w:color w:val="000000"/>
          <w:kern w:val="0"/>
          <w:sz w:val="32"/>
          <w:szCs w:val="32"/>
          <w:lang w:val="en-US" w:eastAsia="zh-CN" w:bidi="ar"/>
        </w:rPr>
        <w:t>（九）完成上级主管部门交办的其他工作。</w:t>
      </w:r>
    </w:p>
    <w:p>
      <w:pPr>
        <w:ind w:firstLine="640" w:firstLineChars="200"/>
        <w:rPr>
          <w:rFonts w:hint="eastAsia"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年预算表</w:t>
      </w:r>
    </w:p>
    <w:p>
      <w:pPr>
        <w:ind w:firstLine="640" w:firstLineChars="200"/>
        <w:rPr>
          <w:rFonts w:hint="eastAsia" w:ascii="黑体" w:hAnsi="黑体" w:eastAsia="黑体"/>
          <w:sz w:val="32"/>
          <w:szCs w:val="32"/>
        </w:rPr>
      </w:pPr>
    </w:p>
    <w:p>
      <w:pPr>
        <w:pStyle w:val="10"/>
        <w:ind w:left="0" w:leftChars="0" w:firstLine="640" w:firstLineChars="200"/>
        <w:rPr>
          <w:rFonts w:ascii="仿宋_GB2312" w:hAnsi="仿宋_GB2312" w:eastAsia="仿宋_GB2312" w:cs="仿宋_GB2312"/>
          <w:sz w:val="32"/>
          <w:szCs w:val="32"/>
        </w:rPr>
      </w:pPr>
      <w:r>
        <w:rPr>
          <w:rFonts w:hint="eastAsia" w:ascii="仿宋_GB2312" w:hAnsi="黑体" w:eastAsia="仿宋_GB2312"/>
          <w:sz w:val="32"/>
          <w:szCs w:val="32"/>
        </w:rPr>
        <w:t>一、</w:t>
      </w:r>
      <w:r>
        <w:rPr>
          <w:rFonts w:hint="eastAsia" w:ascii="仿宋_GB2312" w:eastAsia="仿宋_GB2312"/>
          <w:sz w:val="32"/>
          <w:szCs w:val="32"/>
        </w:rPr>
        <w:t>财政拨款收支总表</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一般公共预算支出表</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一般公共预算基本支出表</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一般公共预算“三公”经费支出表</w:t>
      </w:r>
    </w:p>
    <w:p>
      <w:pPr>
        <w:ind w:firstLine="640" w:firstLineChars="200"/>
        <w:jc w:val="left"/>
        <w:rPr>
          <w:rFonts w:hint="eastAsia" w:ascii="仿宋_GB2312" w:eastAsia="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rPr>
        <w:t>政府性基金预算支出表</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六、政府性基金预算“三公”经费支出表</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eastAsia="仿宋_GB2312"/>
          <w:sz w:val="32"/>
          <w:szCs w:val="32"/>
          <w:lang w:val="en-US" w:eastAsia="zh-CN"/>
        </w:rPr>
        <w:t>单位</w:t>
      </w:r>
      <w:r>
        <w:rPr>
          <w:rFonts w:hint="eastAsia" w:ascii="仿宋_GB2312" w:eastAsia="仿宋_GB2312"/>
          <w:sz w:val="32"/>
          <w:szCs w:val="32"/>
        </w:rPr>
        <w:t>收支总表</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eastAsia="仿宋_GB2312"/>
          <w:sz w:val="32"/>
          <w:szCs w:val="32"/>
          <w:lang w:val="en-US" w:eastAsia="zh-CN"/>
        </w:rPr>
        <w:t>单位</w:t>
      </w:r>
      <w:r>
        <w:rPr>
          <w:rFonts w:hint="eastAsia" w:ascii="仿宋_GB2312" w:eastAsia="仿宋_GB2312"/>
          <w:sz w:val="32"/>
          <w:szCs w:val="32"/>
        </w:rPr>
        <w:t>收入总表</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eastAsia="仿宋_GB2312"/>
          <w:sz w:val="32"/>
          <w:szCs w:val="32"/>
          <w:lang w:val="en-US" w:eastAsia="zh-CN"/>
        </w:rPr>
        <w:t>单位</w:t>
      </w:r>
      <w:r>
        <w:rPr>
          <w:rFonts w:hint="eastAsia" w:ascii="仿宋_GB2312" w:eastAsia="仿宋_GB2312"/>
          <w:sz w:val="32"/>
          <w:szCs w:val="32"/>
        </w:rPr>
        <w:t>支出总表</w:t>
      </w:r>
    </w:p>
    <w:p>
      <w:pPr>
        <w:ind w:firstLine="640" w:firstLineChars="200"/>
        <w:jc w:val="left"/>
        <w:rPr>
          <w:rFonts w:hint="eastAsia" w:ascii="仿宋_GB2312" w:eastAsia="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eastAsia" w:ascii="仿宋_GB2312" w:eastAsia="仿宋_GB2312"/>
          <w:sz w:val="32"/>
          <w:szCs w:val="32"/>
          <w:lang w:val="en-US" w:eastAsia="zh-CN"/>
        </w:rPr>
        <w:t>单位</w:t>
      </w:r>
      <w:r>
        <w:rPr>
          <w:rFonts w:hint="eastAsia" w:ascii="仿宋_GB2312" w:eastAsia="仿宋_GB2312"/>
          <w:sz w:val="32"/>
          <w:szCs w:val="32"/>
        </w:rPr>
        <w:t>支出绩效信息表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年预算情况说明</w:t>
      </w:r>
    </w:p>
    <w:p>
      <w:pPr>
        <w:jc w:val="center"/>
        <w:rPr>
          <w:rFonts w:ascii="黑体" w:hAnsi="黑体" w:eastAsia="黑体"/>
          <w:sz w:val="32"/>
          <w:szCs w:val="32"/>
        </w:rPr>
      </w:pPr>
    </w:p>
    <w:p>
      <w:pPr>
        <w:numPr>
          <w:ilvl w:val="0"/>
          <w:numId w:val="6"/>
        </w:numPr>
        <w:ind w:firstLine="640" w:firstLineChars="200"/>
        <w:jc w:val="left"/>
        <w:rPr>
          <w:rFonts w:hint="eastAsia" w:ascii="黑体" w:hAnsi="黑体" w:eastAsia="黑体"/>
          <w:sz w:val="32"/>
          <w:szCs w:val="32"/>
        </w:rPr>
      </w:pPr>
      <w:r>
        <w:rPr>
          <w:rFonts w:hint="eastAsia" w:ascii="黑体" w:hAnsi="黑体" w:eastAsia="黑体"/>
          <w:sz w:val="32"/>
          <w:szCs w:val="32"/>
        </w:rPr>
        <w:t>关于</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numPr>
          <w:ilvl w:val="0"/>
          <w:numId w:val="0"/>
        </w:num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611.92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611.92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611.92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611.92</w:t>
      </w:r>
      <w:r>
        <w:rPr>
          <w:rFonts w:hint="eastAsia" w:ascii="仿宋_GB2312" w:hAnsi="黑体" w:eastAsia="仿宋_GB2312"/>
          <w:sz w:val="32"/>
          <w:szCs w:val="32"/>
        </w:rPr>
        <w:t>万元，包括包括社会保障和就业支出</w:t>
      </w:r>
      <w:r>
        <w:rPr>
          <w:rFonts w:hint="eastAsia" w:ascii="仿宋_GB2312" w:hAnsi="黑体" w:eastAsia="仿宋_GB2312" w:cs="仿宋_GB2312"/>
          <w:sz w:val="32"/>
          <w:szCs w:val="32"/>
          <w:lang w:val="en-US" w:eastAsia="zh-CN"/>
        </w:rPr>
        <w:t>90.29</w:t>
      </w:r>
      <w:bookmarkStart w:id="0" w:name="_GoBack"/>
      <w:bookmarkEnd w:id="0"/>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481.76</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39.88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numPr>
          <w:ilvl w:val="0"/>
          <w:numId w:val="6"/>
        </w:numPr>
        <w:ind w:left="0" w:leftChars="0" w:firstLine="640" w:firstLineChars="200"/>
        <w:jc w:val="left"/>
        <w:rPr>
          <w:rFonts w:hint="eastAsia" w:ascii="黑体" w:hAnsi="黑体" w:eastAsia="黑体"/>
          <w:sz w:val="32"/>
          <w:szCs w:val="32"/>
        </w:rPr>
      </w:pPr>
      <w:r>
        <w:rPr>
          <w:rFonts w:hint="eastAsia" w:ascii="黑体" w:hAnsi="黑体" w:eastAsia="黑体"/>
          <w:sz w:val="32"/>
          <w:szCs w:val="32"/>
        </w:rPr>
        <w:t>关于</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numPr>
          <w:ilvl w:val="0"/>
          <w:numId w:val="0"/>
        </w:numPr>
        <w:ind w:leftChars="20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611.92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减少134.83万元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单位机构改革，综合执法经费、城乡管理服务事务两个项目分别划给海口市龙华区卫生健康委员会和海口市综合行政执法局龙华分局管理。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90.29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14.75</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481.76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78.73</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39.88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6.52</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sz w:val="32"/>
          <w:szCs w:val="32"/>
        </w:rPr>
        <w:t>（一）</w:t>
      </w:r>
      <w:r>
        <w:rPr>
          <w:rFonts w:hint="eastAsia" w:ascii="仿宋_GB2312" w:hAnsi="黑体" w:eastAsia="仿宋_GB2312" w:cs="仿宋_GB2312"/>
          <w:sz w:val="32"/>
          <w:szCs w:val="32"/>
        </w:rPr>
        <w:t>社会保障和就业支出（类）行政事业单位</w:t>
      </w:r>
      <w:r>
        <w:rPr>
          <w:rFonts w:hint="eastAsia" w:ascii="仿宋_GB2312" w:hAnsi="黑体" w:eastAsia="仿宋_GB2312" w:cs="仿宋_GB2312"/>
          <w:sz w:val="32"/>
          <w:szCs w:val="32"/>
          <w:lang w:eastAsia="zh-CN"/>
        </w:rPr>
        <w:t>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46.58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增加6.68万元，</w:t>
      </w:r>
      <w:r>
        <w:rPr>
          <w:rFonts w:hint="eastAsia" w:ascii="仿宋_GB2312" w:hAnsi="黑体" w:eastAsia="仿宋_GB2312"/>
          <w:sz w:val="32"/>
          <w:szCs w:val="32"/>
        </w:rPr>
        <w:t>主要</w:t>
      </w:r>
      <w:r>
        <w:rPr>
          <w:rFonts w:hint="eastAsia" w:ascii="仿宋_GB2312" w:hAnsi="黑体" w:eastAsia="仿宋_GB2312"/>
          <w:sz w:val="32"/>
          <w:szCs w:val="32"/>
          <w:lang w:val="en-US" w:eastAsia="zh-CN"/>
        </w:rPr>
        <w:t>一</w:t>
      </w:r>
      <w:r>
        <w:rPr>
          <w:rFonts w:hint="eastAsia" w:ascii="仿宋_GB2312" w:hAnsi="黑体" w:eastAsia="仿宋_GB2312"/>
          <w:sz w:val="32"/>
          <w:szCs w:val="32"/>
        </w:rPr>
        <w:t>是</w:t>
      </w:r>
      <w:r>
        <w:rPr>
          <w:rFonts w:hint="eastAsia" w:ascii="仿宋_GB2312" w:hAnsi="黑体" w:eastAsia="仿宋_GB2312"/>
          <w:sz w:val="32"/>
          <w:szCs w:val="32"/>
          <w:lang w:val="en-US" w:eastAsia="zh-CN"/>
        </w:rPr>
        <w:t>养老保险基数调整，二是新增一名退休人员。</w:t>
      </w:r>
    </w:p>
    <w:p>
      <w:pPr>
        <w:ind w:firstLine="960" w:firstLineChars="300"/>
        <w:rPr>
          <w:rFonts w:hint="default" w:ascii="仿宋_GB2312" w:hAnsi="黑体" w:eastAsia="仿宋_GB2312" w:cs="仿宋_GB2312"/>
          <w:sz w:val="32"/>
          <w:szCs w:val="32"/>
          <w:lang w:val="en-US" w:eastAsia="zh-CN"/>
        </w:rPr>
      </w:pPr>
      <w:r>
        <w:rPr>
          <w:rFonts w:hint="eastAsia" w:ascii="仿宋_GB2312" w:hAnsi="黑体" w:eastAsia="仿宋_GB2312"/>
          <w:sz w:val="32"/>
          <w:szCs w:val="32"/>
        </w:rPr>
        <w:t>（二）</w:t>
      </w:r>
      <w:r>
        <w:rPr>
          <w:rFonts w:hint="eastAsia" w:ascii="仿宋_GB2312" w:hAnsi="黑体" w:eastAsia="仿宋_GB2312" w:cs="仿宋_GB2312"/>
          <w:sz w:val="32"/>
          <w:szCs w:val="32"/>
        </w:rPr>
        <w:t>社会保障和就业支出（类）行政事业单位</w:t>
      </w:r>
      <w:r>
        <w:rPr>
          <w:rFonts w:hint="eastAsia" w:ascii="仿宋_GB2312" w:hAnsi="黑体" w:eastAsia="仿宋_GB2312" w:cs="仿宋_GB2312"/>
          <w:sz w:val="32"/>
          <w:szCs w:val="32"/>
          <w:lang w:eastAsia="zh-CN"/>
        </w:rPr>
        <w:t>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43.70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增加23.75万元，</w:t>
      </w:r>
      <w:r>
        <w:rPr>
          <w:rFonts w:hint="eastAsia" w:ascii="仿宋_GB2312" w:hAnsi="黑体" w:eastAsia="仿宋_GB2312" w:cs="仿宋_GB2312"/>
          <w:color w:val="000000" w:themeColor="text1"/>
          <w:sz w:val="32"/>
          <w:szCs w:val="32"/>
          <w:lang w:val="en-US" w:eastAsia="zh-CN"/>
          <w14:textFill>
            <w14:solidFill>
              <w14:schemeClr w14:val="tx1"/>
            </w14:solidFill>
          </w14:textFill>
        </w:rPr>
        <w:t>主要是</w:t>
      </w:r>
      <w:r>
        <w:rPr>
          <w:rFonts w:hint="eastAsia" w:ascii="仿宋_GB2312" w:hAnsi="黑体" w:eastAsia="仿宋_GB2312" w:cs="仿宋_GB2312"/>
          <w:sz w:val="32"/>
          <w:szCs w:val="32"/>
          <w:lang w:val="en-US" w:eastAsia="zh-CN"/>
        </w:rPr>
        <w:t>职业年金</w:t>
      </w:r>
      <w:r>
        <w:rPr>
          <w:rFonts w:hint="eastAsia" w:ascii="仿宋_GB2312" w:hAnsi="黑体" w:eastAsia="仿宋_GB2312"/>
          <w:color w:val="000000" w:themeColor="text1"/>
          <w:sz w:val="32"/>
          <w:szCs w:val="32"/>
          <w:lang w:val="en-US" w:eastAsia="zh-CN"/>
          <w14:textFill>
            <w14:solidFill>
              <w14:schemeClr w14:val="tx1"/>
            </w14:solidFill>
          </w14:textFill>
        </w:rPr>
        <w:t>缴纳基数调整</w:t>
      </w:r>
      <w:r>
        <w:rPr>
          <w:rFonts w:hint="eastAsia" w:ascii="仿宋_GB2312" w:hAnsi="黑体" w:eastAsia="仿宋_GB2312" w:cs="仿宋_GB2312"/>
          <w:sz w:val="32"/>
          <w:szCs w:val="32"/>
          <w:lang w:val="en-US"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（一）</w:t>
      </w:r>
      <w:r>
        <w:rPr>
          <w:rFonts w:hint="eastAsia" w:ascii="仿宋_GB2312" w:hAnsi="黑体" w:eastAsia="仿宋_GB2312" w:cs="仿宋_GB2312"/>
          <w:sz w:val="32"/>
          <w:szCs w:val="32"/>
        </w:rPr>
        <w:t>卫生健康支出（类）卫生健康管理事务（款）</w:t>
      </w:r>
      <w:r>
        <w:rPr>
          <w:rFonts w:hint="eastAsia" w:ascii="仿宋_GB2312" w:hAnsi="黑体" w:eastAsia="仿宋_GB2312" w:cs="仿宋_GB2312"/>
          <w:sz w:val="32"/>
          <w:szCs w:val="32"/>
          <w:lang w:val="en-US" w:eastAsia="zh-CN"/>
        </w:rPr>
        <w:t>其他卫生健康管理事务支出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422.91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比去年预算数增加59.40万元，</w:t>
      </w:r>
      <w:r>
        <w:rPr>
          <w:rFonts w:hint="eastAsia" w:ascii="仿宋_GB2312" w:hAnsi="黑体" w:eastAsia="仿宋_GB2312" w:cs="仿宋_GB2312"/>
          <w:sz w:val="32"/>
          <w:szCs w:val="32"/>
          <w:lang w:val="en-US" w:eastAsia="zh-CN"/>
        </w:rPr>
        <w:t>主要是</w:t>
      </w:r>
      <w:r>
        <w:rPr>
          <w:rFonts w:hint="eastAsia" w:ascii="仿宋_GB2312" w:hAnsi="黑体" w:eastAsia="仿宋_GB2312"/>
          <w:sz w:val="32"/>
          <w:szCs w:val="32"/>
          <w:lang w:val="en-US" w:eastAsia="zh-CN"/>
        </w:rPr>
        <w:t>2024年调整了工资津贴补贴标准，导致预算也相对应增加。</w:t>
      </w:r>
    </w:p>
    <w:p>
      <w:pPr>
        <w:ind w:firstLine="1280" w:firstLineChars="400"/>
        <w:rPr>
          <w:rFonts w:hint="eastAsia" w:ascii="仿宋_GB2312" w:hAnsi="黑体" w:eastAsia="仿宋_GB2312"/>
          <w:color w:val="FF0000"/>
          <w:sz w:val="32"/>
          <w:szCs w:val="32"/>
          <w:lang w:eastAsia="zh-CN"/>
        </w:rPr>
      </w:pPr>
      <w:r>
        <w:rPr>
          <w:rFonts w:hint="eastAsia" w:ascii="仿宋_GB2312" w:hAnsi="黑体" w:eastAsia="仿宋_GB2312"/>
          <w:sz w:val="32"/>
          <w:szCs w:val="32"/>
        </w:rPr>
        <w:t>（二）</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21.42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sz w:val="32"/>
          <w:szCs w:val="32"/>
          <w:lang w:val="en-US" w:eastAsia="zh-CN"/>
        </w:rPr>
        <w:t>增加</w:t>
      </w:r>
      <w:r>
        <w:rPr>
          <w:rFonts w:hint="eastAsia" w:ascii="仿宋_GB2312" w:hAnsi="黑体" w:eastAsia="仿宋_GB2312"/>
          <w:color w:val="000000" w:themeColor="text1"/>
          <w:sz w:val="32"/>
          <w:szCs w:val="32"/>
          <w:lang w:val="en-US" w:eastAsia="zh-CN"/>
          <w14:textFill>
            <w14:solidFill>
              <w14:schemeClr w14:val="tx1"/>
            </w14:solidFill>
          </w14:textFill>
        </w:rPr>
        <w:t>3.69万元，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人员工资、社保缴纳基数调整。</w:t>
      </w:r>
    </w:p>
    <w:p>
      <w:pPr>
        <w:ind w:firstLine="1280" w:firstLineChars="40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sz w:val="32"/>
          <w:szCs w:val="32"/>
        </w:rPr>
        <w:t>（三）</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37.42万元，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增加2.9万元，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社保基数调整。</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39.88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增加7.46万元，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公积金基数调整。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海口市综合行政执法局龙华分局卫生健康行政执法大队2024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611.92万</w:t>
      </w:r>
      <w:r>
        <w:rPr>
          <w:rFonts w:hint="eastAsia" w:ascii="仿宋_GB2312" w:hAnsi="黑体" w:eastAsia="仿宋_GB2312"/>
          <w:sz w:val="32"/>
          <w:szCs w:val="32"/>
        </w:rPr>
        <w:t>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585.23万</w:t>
      </w:r>
      <w:r>
        <w:rPr>
          <w:rFonts w:hint="eastAsia" w:ascii="仿宋_GB2312" w:hAnsi="黑体" w:eastAsia="仿宋_GB2312"/>
          <w:sz w:val="32"/>
          <w:szCs w:val="32"/>
        </w:rPr>
        <w:t>元，主要包括：基本工资、津贴补贴、奖金、绩效工资、机关事业单位基本养老保险缴费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w:t>
      </w:r>
      <w:r>
        <w:rPr>
          <w:rFonts w:hint="eastAsia" w:ascii="仿宋_GB2312" w:hAnsi="黑体" w:eastAsia="仿宋_GB2312"/>
          <w:sz w:val="32"/>
          <w:szCs w:val="32"/>
          <w:lang w:val="en-US" w:eastAsia="zh-CN"/>
        </w:rPr>
        <w:t>公务员医疗补助缴费、</w:t>
      </w:r>
      <w:r>
        <w:rPr>
          <w:rFonts w:hint="eastAsia" w:ascii="仿宋_GB2312" w:hAnsi="黑体" w:eastAsia="仿宋_GB2312"/>
          <w:sz w:val="32"/>
          <w:szCs w:val="32"/>
        </w:rPr>
        <w:t>其他社会保障缴费、住房公积金、医疗费、其他工资福利支出。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26.69万</w:t>
      </w:r>
      <w:r>
        <w:rPr>
          <w:rFonts w:hint="eastAsia" w:ascii="仿宋_GB2312" w:hAnsi="黑体" w:eastAsia="仿宋_GB2312"/>
          <w:sz w:val="32"/>
          <w:szCs w:val="32"/>
        </w:rPr>
        <w:t>元，主要包括：其他社会保障缴费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办公费、邮电费</w:t>
      </w:r>
      <w:r>
        <w:rPr>
          <w:rFonts w:hint="eastAsia" w:ascii="仿宋_GB2312" w:hAnsi="黑体" w:eastAsia="仿宋_GB2312"/>
          <w:sz w:val="32"/>
          <w:szCs w:val="32"/>
          <w:lang w:eastAsia="zh-CN"/>
        </w:rPr>
        <w:t>、</w:t>
      </w:r>
      <w:r>
        <w:rPr>
          <w:rFonts w:hint="eastAsia" w:ascii="仿宋_GB2312" w:hAnsi="黑体" w:eastAsia="仿宋_GB2312"/>
          <w:sz w:val="32"/>
          <w:szCs w:val="32"/>
        </w:rPr>
        <w:t>培训费、工会经费、公务用车运行维护费、其他交通费用</w:t>
      </w:r>
      <w:r>
        <w:rPr>
          <w:rFonts w:hint="eastAsia" w:ascii="仿宋_GB2312" w:hAnsi="黑体" w:eastAsia="仿宋_GB2312"/>
          <w:sz w:val="32"/>
          <w:szCs w:val="32"/>
          <w:lang w:eastAsia="zh-CN"/>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2023</w:t>
      </w:r>
      <w:r>
        <w:rPr>
          <w:rFonts w:hint="eastAsia" w:ascii="黑体" w:hAnsi="黑体" w:eastAsia="黑体" w:cs="黑体"/>
          <w:sz w:val="32"/>
          <w:szCs w:val="32"/>
          <w:lang w:val="en-US" w:eastAsia="zh-CN"/>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海口市综合行政执法局龙华分局卫生健康行政执法大队2024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减少0.1万元，主要是坚持厉行勤俭节约，节省开支</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海口市综合行政执法局龙华分局卫生健康行政执法大队2024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cs="Times New Roman"/>
          <w:sz w:val="32"/>
          <w:shd w:val="clear" w:color="auto" w:fill="FFFFFF"/>
          <w:lang w:val="en-US" w:eastAsia="zh-CN"/>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sz w:val="32"/>
          <w:szCs w:val="32"/>
          <w:lang w:val="en-US" w:eastAsia="zh-CN"/>
        </w:rPr>
        <w:t>海口市综合行政执法局龙华分局卫生健康行政执法大队2024</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增持平</w:t>
      </w:r>
      <w:r>
        <w:rPr>
          <w:rFonts w:hint="eastAsia" w:ascii="仿宋_GB2312" w:hAnsi="黑体" w:eastAsia="仿宋_GB2312"/>
          <w:sz w:val="32"/>
          <w:szCs w:val="32"/>
        </w:rPr>
        <w:t>，主要是我单位</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cs="Times New Roman"/>
          <w:sz w:val="32"/>
          <w:shd w:val="clear" w:color="auto" w:fill="FFFFFF"/>
          <w:lang w:val="en-US" w:eastAsia="zh-CN"/>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海口市综合行政执法局龙华分局卫生健康行政执法大队</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海口市综合行政执法局龙华分局卫生健康行政执法大队2024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611.92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cs="Times New Roman"/>
          <w:sz w:val="32"/>
          <w:shd w:val="clear" w:color="auto" w:fill="FFFFFF"/>
          <w:lang w:val="en-US" w:eastAsia="zh-CN"/>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海口市综合行政执法局龙华分局卫生健康行政执法大队2024年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611.92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经费拨款收入611.92万元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海口市综合行政执法局龙华分局卫生健康行政执法大队</w:t>
      </w:r>
      <w:r>
        <w:rPr>
          <w:rFonts w:hint="eastAsia" w:ascii="仿宋_GB2312" w:hAnsi="黑体" w:eastAsia="仿宋_GB2312" w:cs="仿宋_GB2312"/>
          <w:sz w:val="32"/>
          <w:szCs w:val="32"/>
          <w:lang w:val="en-US" w:eastAsia="zh-CN"/>
        </w:rPr>
        <w:t>2024</w:t>
      </w:r>
      <w:r>
        <w:rPr>
          <w:rFonts w:hint="eastAsia" w:ascii="黑体" w:hAnsi="黑体" w:eastAsia="黑体" w:cs="Times New Roman"/>
          <w:sz w:val="32"/>
          <w:shd w:val="clear" w:color="auto" w:fill="FFFFFF"/>
          <w:lang w:val="en-US" w:eastAsia="zh-CN"/>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lang w:val="en-US" w:eastAsia="zh-CN"/>
        </w:rPr>
        <w:t>海口市综合行政执法局龙华分局卫生健康行政执法大队2024年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611.92</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其中：基本支出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611.92万</w:t>
      </w:r>
      <w:r>
        <w:rPr>
          <w:rFonts w:hint="eastAsia" w:ascii="仿宋_GB2312" w:hAnsi="黑体" w:eastAsia="仿宋_GB2312"/>
          <w:color w:val="000000" w:themeColor="text1"/>
          <w:sz w:val="32"/>
          <w:szCs w:val="32"/>
          <w14:textFill>
            <w14:solidFill>
              <w14:schemeClr w14:val="tx1"/>
            </w14:solidFill>
          </w14:textFill>
        </w:rPr>
        <w:t>元，占</w:t>
      </w:r>
      <w:r>
        <w:rPr>
          <w:rFonts w:hint="eastAsia" w:ascii="仿宋_GB2312" w:hAnsi="黑体" w:eastAsia="仿宋_GB2312"/>
          <w:color w:val="000000" w:themeColor="text1"/>
          <w:sz w:val="32"/>
          <w:szCs w:val="32"/>
          <w:lang w:val="en-US" w:eastAsia="zh-CN"/>
          <w14:textFill>
            <w14:solidFill>
              <w14:schemeClr w14:val="tx1"/>
            </w14:solidFill>
          </w14:textFill>
        </w:rPr>
        <w:t>100</w:t>
      </w:r>
      <w:r>
        <w:rPr>
          <w:rFonts w:hint="eastAsia" w:ascii="仿宋_GB2312" w:hAnsi="黑体" w:eastAsia="仿宋_GB2312"/>
          <w:color w:val="000000" w:themeColor="text1"/>
          <w:sz w:val="32"/>
          <w:szCs w:val="32"/>
          <w14:textFill>
            <w14:solidFill>
              <w14:schemeClr w14:val="tx1"/>
            </w14:solidFill>
          </w14:textFill>
        </w:rPr>
        <w:t>%；项目支出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olor w:val="000000" w:themeColor="text1"/>
          <w:sz w:val="32"/>
          <w:szCs w:val="32"/>
          <w:lang w:val="en-US"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134.83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lang w:val="en-US" w:eastAsia="zh-CN"/>
        </w:rPr>
        <w:t>单位机构改革，综合执法经费、城乡管理服务事务两个项目分别划给海口市龙华区卫生健康委员会和海口市综合行政执法局龙华分局管理</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楷体" w:hAnsi="楷体" w:eastAsia="楷体"/>
          <w:sz w:val="32"/>
          <w:szCs w:val="32"/>
        </w:rPr>
      </w:pPr>
      <w:r>
        <w:rPr>
          <w:rFonts w:hint="eastAsia" w:ascii="仿宋_GB2312" w:hAnsi="黑体" w:eastAsia="仿宋_GB2312"/>
          <w:sz w:val="32"/>
          <w:szCs w:val="32"/>
          <w:lang w:val="en-US" w:eastAsia="zh-CN"/>
        </w:rPr>
        <w:t>海口市综合行政执法局龙华分局卫生健康行政执法大队属于事业单位</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海口市综合行政执法局龙华分局卫生健康行政执法大队</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0.9</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0.9</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numPr>
          <w:ilvl w:val="0"/>
          <w:numId w:val="7"/>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w:t>
      </w:r>
    </w:p>
    <w:p>
      <w:pPr>
        <w:numPr>
          <w:ilvl w:val="0"/>
          <w:numId w:val="0"/>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海口市综合行政执法局龙华分局卫生健康行政执法大队</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numPr>
          <w:ilvl w:val="0"/>
          <w:numId w:val="7"/>
        </w:numPr>
        <w:ind w:left="0" w:leftChars="0" w:firstLine="640" w:firstLineChars="200"/>
        <w:rPr>
          <w:rFonts w:hint="eastAsia" w:ascii="楷体" w:hAnsi="楷体" w:eastAsia="楷体"/>
          <w:sz w:val="32"/>
          <w:szCs w:val="32"/>
        </w:rPr>
      </w:pPr>
      <w:r>
        <w:rPr>
          <w:rFonts w:hint="eastAsia" w:ascii="楷体" w:hAnsi="楷体" w:eastAsia="楷体"/>
          <w:sz w:val="32"/>
          <w:szCs w:val="32"/>
        </w:rPr>
        <w:t>绩效目标设置情况</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海口市综合行政执法局龙华分局卫生健康行政执法大队10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611.92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我单位无重点项目。</w:t>
      </w: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2E021A"/>
    <w:multiLevelType w:val="singleLevel"/>
    <w:tmpl w:val="D12E021A"/>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86EC97F"/>
    <w:multiLevelType w:val="singleLevel"/>
    <w:tmpl w:val="486EC97F"/>
    <w:lvl w:ilvl="0" w:tentative="0">
      <w:start w:val="1"/>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zZTQ5NGFmZmVlNmZiNjNhMThhZDg1Njc4NDBlYWIifQ=="/>
  </w:docVars>
  <w:rsids>
    <w:rsidRoot w:val="00000000"/>
    <w:rsid w:val="00256EB6"/>
    <w:rsid w:val="00D46743"/>
    <w:rsid w:val="030C1B80"/>
    <w:rsid w:val="03655BEF"/>
    <w:rsid w:val="06FF1CEF"/>
    <w:rsid w:val="07F5375B"/>
    <w:rsid w:val="094D6342"/>
    <w:rsid w:val="0AFA5870"/>
    <w:rsid w:val="0B212DFC"/>
    <w:rsid w:val="0BD265D9"/>
    <w:rsid w:val="0BFE7494"/>
    <w:rsid w:val="0C792AB2"/>
    <w:rsid w:val="0E574D87"/>
    <w:rsid w:val="0E576B35"/>
    <w:rsid w:val="0ECB4844"/>
    <w:rsid w:val="11483018"/>
    <w:rsid w:val="118440E5"/>
    <w:rsid w:val="11CB14A0"/>
    <w:rsid w:val="149617D4"/>
    <w:rsid w:val="167F4E7B"/>
    <w:rsid w:val="17301BE9"/>
    <w:rsid w:val="198B3B37"/>
    <w:rsid w:val="19D5DA33"/>
    <w:rsid w:val="1CD71853"/>
    <w:rsid w:val="1D4242E9"/>
    <w:rsid w:val="1F2C71D7"/>
    <w:rsid w:val="1FBF8E30"/>
    <w:rsid w:val="1FF70178"/>
    <w:rsid w:val="200822AE"/>
    <w:rsid w:val="205D447F"/>
    <w:rsid w:val="21EC0F13"/>
    <w:rsid w:val="22153120"/>
    <w:rsid w:val="227153FE"/>
    <w:rsid w:val="231019BB"/>
    <w:rsid w:val="23517B9F"/>
    <w:rsid w:val="23BD6200"/>
    <w:rsid w:val="23CB6F9A"/>
    <w:rsid w:val="25AE3881"/>
    <w:rsid w:val="266E291D"/>
    <w:rsid w:val="26C708A4"/>
    <w:rsid w:val="280359BA"/>
    <w:rsid w:val="2BDF0DC0"/>
    <w:rsid w:val="2CD221FB"/>
    <w:rsid w:val="2D6706EB"/>
    <w:rsid w:val="2D7C5EAE"/>
    <w:rsid w:val="2E3F3416"/>
    <w:rsid w:val="2E933762"/>
    <w:rsid w:val="2F236F1F"/>
    <w:rsid w:val="2FF7110D"/>
    <w:rsid w:val="2FFFCED3"/>
    <w:rsid w:val="30BF4373"/>
    <w:rsid w:val="31337F00"/>
    <w:rsid w:val="32D929F6"/>
    <w:rsid w:val="34AA5361"/>
    <w:rsid w:val="3540278F"/>
    <w:rsid w:val="355E4DF1"/>
    <w:rsid w:val="35662CEC"/>
    <w:rsid w:val="365D0CE3"/>
    <w:rsid w:val="380F3E59"/>
    <w:rsid w:val="396F430E"/>
    <w:rsid w:val="399C796E"/>
    <w:rsid w:val="3BA929CC"/>
    <w:rsid w:val="3E0930F8"/>
    <w:rsid w:val="3E0A7FF5"/>
    <w:rsid w:val="3EE3310D"/>
    <w:rsid w:val="3F191F2E"/>
    <w:rsid w:val="3F7FB4B5"/>
    <w:rsid w:val="3FAD4D11"/>
    <w:rsid w:val="3FF424AA"/>
    <w:rsid w:val="40273D0A"/>
    <w:rsid w:val="407F58F4"/>
    <w:rsid w:val="41091884"/>
    <w:rsid w:val="41567C08"/>
    <w:rsid w:val="42817063"/>
    <w:rsid w:val="432702BD"/>
    <w:rsid w:val="43D70605"/>
    <w:rsid w:val="444672CF"/>
    <w:rsid w:val="47903E38"/>
    <w:rsid w:val="48FF5316"/>
    <w:rsid w:val="49D55B75"/>
    <w:rsid w:val="49F96E9D"/>
    <w:rsid w:val="4A963F66"/>
    <w:rsid w:val="4B130EE0"/>
    <w:rsid w:val="4B6747B3"/>
    <w:rsid w:val="4FB80849"/>
    <w:rsid w:val="50775C84"/>
    <w:rsid w:val="516326FF"/>
    <w:rsid w:val="5236324F"/>
    <w:rsid w:val="530A56A5"/>
    <w:rsid w:val="54421EE9"/>
    <w:rsid w:val="55992D9E"/>
    <w:rsid w:val="55B804CA"/>
    <w:rsid w:val="55CF657E"/>
    <w:rsid w:val="564B1102"/>
    <w:rsid w:val="56B347E4"/>
    <w:rsid w:val="56C52E52"/>
    <w:rsid w:val="56CB143B"/>
    <w:rsid w:val="57E76A7D"/>
    <w:rsid w:val="58F84FB2"/>
    <w:rsid w:val="5B005D79"/>
    <w:rsid w:val="5B977ED2"/>
    <w:rsid w:val="5C11169E"/>
    <w:rsid w:val="5DB7E539"/>
    <w:rsid w:val="5F724B4A"/>
    <w:rsid w:val="5FC96CB6"/>
    <w:rsid w:val="60CE5DB0"/>
    <w:rsid w:val="6246023F"/>
    <w:rsid w:val="646031C3"/>
    <w:rsid w:val="656071F2"/>
    <w:rsid w:val="669F76B6"/>
    <w:rsid w:val="66DACB0B"/>
    <w:rsid w:val="67C62A04"/>
    <w:rsid w:val="67ED1B94"/>
    <w:rsid w:val="68774F7F"/>
    <w:rsid w:val="68A10B05"/>
    <w:rsid w:val="68B41D2F"/>
    <w:rsid w:val="697BF56A"/>
    <w:rsid w:val="69B53D4E"/>
    <w:rsid w:val="6AB052FB"/>
    <w:rsid w:val="6B6CE30F"/>
    <w:rsid w:val="6C7F1319"/>
    <w:rsid w:val="6D00798B"/>
    <w:rsid w:val="6DDF74AC"/>
    <w:rsid w:val="6FAF0D8D"/>
    <w:rsid w:val="6FCFCADC"/>
    <w:rsid w:val="6FFA4FE6"/>
    <w:rsid w:val="7062729B"/>
    <w:rsid w:val="71F92EA9"/>
    <w:rsid w:val="72085FBC"/>
    <w:rsid w:val="73B662BA"/>
    <w:rsid w:val="74490CA5"/>
    <w:rsid w:val="748A603A"/>
    <w:rsid w:val="75FB0B04"/>
    <w:rsid w:val="76E141B1"/>
    <w:rsid w:val="77004391"/>
    <w:rsid w:val="78FD502C"/>
    <w:rsid w:val="79464C25"/>
    <w:rsid w:val="79F7B683"/>
    <w:rsid w:val="7A3727C0"/>
    <w:rsid w:val="7A4F7B0A"/>
    <w:rsid w:val="7BF554F9"/>
    <w:rsid w:val="7C6F3267"/>
    <w:rsid w:val="7D6A1335"/>
    <w:rsid w:val="7D73BCCE"/>
    <w:rsid w:val="7D810859"/>
    <w:rsid w:val="7DE79FA0"/>
    <w:rsid w:val="7DEBCAFF"/>
    <w:rsid w:val="7EDD8B29"/>
    <w:rsid w:val="7FA514C2"/>
    <w:rsid w:val="7FD04735"/>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4632</Words>
  <Characters>4962</Characters>
  <Lines>27</Lines>
  <Paragraphs>7</Paragraphs>
  <TotalTime>16</TotalTime>
  <ScaleCrop>false</ScaleCrop>
  <LinksUpToDate>false</LinksUpToDate>
  <CharactersWithSpaces>4998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jui</cp:lastModifiedBy>
  <dcterms:modified xsi:type="dcterms:W3CDTF">2024-03-01T01:53:54Z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DED351CEE68543B3BF75B19DCFB5BCFF</vt:lpwstr>
  </property>
</Properties>
</file>