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ind w:firstLine="220" w:firstLineChars="50"/>
        <w:jc w:val="center"/>
        <w:rPr>
          <w:rFonts w:hint="eastAsia" w:ascii="黑体" w:hAnsi="黑体" w:eastAsia="黑体" w:cs="黑体"/>
          <w:b w:val="0"/>
          <w:sz w:val="44"/>
          <w:szCs w:val="44"/>
          <w:lang w:bidi="ar-SA"/>
        </w:rPr>
      </w:pPr>
      <w:r>
        <w:rPr>
          <w:rFonts w:hint="eastAsia" w:ascii="黑体" w:hAnsi="黑体" w:eastAsia="黑体" w:cs="黑体"/>
          <w:b w:val="0"/>
          <w:sz w:val="44"/>
          <w:szCs w:val="44"/>
          <w:lang w:bidi="ar-SA"/>
        </w:rPr>
        <w:t>村(社区)基层干部补贴项目绩效自评报告</w:t>
      </w:r>
    </w:p>
    <w:p>
      <w:pPr>
        <w:spacing w:line="530" w:lineRule="exact"/>
        <w:ind w:firstLine="220" w:firstLineChars="50"/>
        <w:jc w:val="both"/>
        <w:rPr>
          <w:rFonts w:hint="eastAsia" w:ascii="黑体" w:hAnsi="黑体" w:eastAsia="黑体" w:cs="黑体"/>
          <w:b w:val="0"/>
          <w:sz w:val="44"/>
          <w:szCs w:val="44"/>
          <w:lang w:bidi="ar-SA"/>
        </w:rPr>
      </w:pPr>
    </w:p>
    <w:p>
      <w:pPr>
        <w:spacing w:line="530" w:lineRule="exact"/>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一、项目概况</w:t>
      </w:r>
    </w:p>
    <w:p>
      <w:pPr>
        <w:spacing w:line="530" w:lineRule="exact"/>
        <w:ind w:firstLine="480" w:firstLineChars="1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(一)项目基本情况:立项情况、实施主题、项目资金及主要内容村(社区)基层干部补贴为经常性项目，项目资金用途主要为保障2021年度辖区</w:t>
      </w:r>
      <w:r>
        <w:rPr>
          <w:rFonts w:hint="eastAsia" w:ascii="仿宋_GB2312" w:hAnsi="仿宋_GB2312" w:eastAsia="仿宋_GB2312" w:cs="仿宋_GB2312"/>
          <w:b w:val="0"/>
          <w:sz w:val="32"/>
          <w:szCs w:val="32"/>
          <w:lang w:val="en-US" w:bidi="ar-SA"/>
        </w:rPr>
        <w:t>10</w:t>
      </w:r>
      <w:r>
        <w:rPr>
          <w:rFonts w:hint="eastAsia" w:ascii="仿宋_GB2312" w:hAnsi="仿宋_GB2312" w:eastAsia="仿宋_GB2312" w:cs="仿宋_GB2312"/>
          <w:b w:val="0"/>
          <w:sz w:val="32"/>
          <w:szCs w:val="32"/>
          <w:lang w:bidi="ar-SA"/>
        </w:rPr>
        <w:t>个社区居委会工作人员和居民小组长、下岗破产国有企业书记、事务监督员、离任村干部、非公党支</w:t>
      </w:r>
      <w:bookmarkStart w:id="0" w:name="_GoBack"/>
      <w:bookmarkEnd w:id="0"/>
      <w:r>
        <w:rPr>
          <w:rFonts w:hint="eastAsia" w:ascii="仿宋_GB2312" w:hAnsi="仿宋_GB2312" w:eastAsia="仿宋_GB2312" w:cs="仿宋_GB2312"/>
          <w:b w:val="0"/>
          <w:sz w:val="32"/>
          <w:szCs w:val="32"/>
          <w:lang w:bidi="ar-SA"/>
        </w:rPr>
        <w:t>部书记、</w:t>
      </w:r>
      <w:r>
        <w:rPr>
          <w:rFonts w:hint="eastAsia" w:ascii="仿宋_GB2312" w:hAnsi="仿宋_GB2312" w:eastAsia="仿宋_GB2312" w:cs="仿宋_GB2312"/>
          <w:b w:val="0"/>
          <w:sz w:val="32"/>
          <w:szCs w:val="32"/>
          <w:lang w:eastAsia="zh-CN" w:bidi="ar-SA"/>
        </w:rPr>
        <w:t>离任村干部</w:t>
      </w:r>
      <w:r>
        <w:rPr>
          <w:rFonts w:hint="eastAsia" w:ascii="仿宋_GB2312" w:hAnsi="仿宋_GB2312" w:eastAsia="仿宋_GB2312" w:cs="仿宋_GB2312"/>
          <w:b w:val="0"/>
          <w:sz w:val="32"/>
          <w:szCs w:val="32"/>
          <w:lang w:bidi="ar-SA"/>
        </w:rPr>
        <w:t>等人员工作补贴。</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项目资金涉及范围如下:2021年度辖区</w:t>
      </w:r>
      <w:r>
        <w:rPr>
          <w:rFonts w:hint="eastAsia" w:ascii="仿宋_GB2312" w:hAnsi="仿宋_GB2312" w:eastAsia="仿宋_GB2312" w:cs="仿宋_GB2312"/>
          <w:b w:val="0"/>
          <w:sz w:val="32"/>
          <w:szCs w:val="32"/>
          <w:lang w:val="en-US" w:bidi="ar-SA"/>
        </w:rPr>
        <w:t>10</w:t>
      </w:r>
      <w:r>
        <w:rPr>
          <w:rFonts w:hint="eastAsia" w:ascii="仿宋_GB2312" w:hAnsi="仿宋_GB2312" w:eastAsia="仿宋_GB2312" w:cs="仿宋_GB2312"/>
          <w:b w:val="0"/>
          <w:sz w:val="32"/>
          <w:szCs w:val="32"/>
          <w:lang w:bidi="ar-SA"/>
        </w:rPr>
        <w:t>个社区居委会人员工资和五险一金;居民小组长、下岗破产国有企业书记、事务监督员、离任村干部、非公党支部书记、</w:t>
      </w:r>
      <w:r>
        <w:rPr>
          <w:rFonts w:hint="eastAsia" w:ascii="仿宋_GB2312" w:hAnsi="仿宋_GB2312" w:eastAsia="仿宋_GB2312" w:cs="仿宋_GB2312"/>
          <w:b w:val="0"/>
          <w:sz w:val="32"/>
          <w:szCs w:val="32"/>
          <w:lang w:eastAsia="zh-CN" w:bidi="ar-SA"/>
        </w:rPr>
        <w:t>离任村干部</w:t>
      </w:r>
      <w:r>
        <w:rPr>
          <w:rFonts w:hint="eastAsia" w:ascii="仿宋_GB2312" w:hAnsi="仿宋_GB2312" w:eastAsia="仿宋_GB2312" w:cs="仿宋_GB2312"/>
          <w:b w:val="0"/>
          <w:sz w:val="32"/>
          <w:szCs w:val="32"/>
          <w:lang w:bidi="ar-SA"/>
        </w:rPr>
        <w:t>等人员工作补贴。</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二)项目年度预算目标和绩效指标设定情况该项目2021年有预算批复的绩效指标，我们根据上级通知要求，参照2021年预算编制中区财政局已审核同类型项目目标设置填报。项目共设置2个绩效指标，其中产出指标1个，成效指标1个，具体</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情况如下:</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产出指标--居委会成员、事务监督员等人员的五险一金等工资</w:t>
      </w:r>
    </w:p>
    <w:p>
      <w:pPr>
        <w:spacing w:line="530" w:lineRule="exact"/>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福利:绩效目标为发放居委会成员、事务监督员等</w:t>
      </w:r>
      <w:r>
        <w:rPr>
          <w:rFonts w:hint="eastAsia" w:ascii="仿宋_GB2312" w:hAnsi="仿宋_GB2312" w:eastAsia="仿宋_GB2312" w:cs="仿宋_GB2312"/>
          <w:b w:val="0"/>
          <w:sz w:val="32"/>
          <w:szCs w:val="32"/>
          <w:lang w:val="en-US" w:eastAsia="zh-CN" w:bidi="ar-SA"/>
        </w:rPr>
        <w:t>305</w:t>
      </w:r>
      <w:r>
        <w:rPr>
          <w:rFonts w:hint="eastAsia" w:ascii="仿宋_GB2312" w:hAnsi="仿宋_GB2312" w:eastAsia="仿宋_GB2312" w:cs="仿宋_GB2312"/>
          <w:b w:val="0"/>
          <w:sz w:val="32"/>
          <w:szCs w:val="32"/>
          <w:lang w:bidi="ar-SA"/>
        </w:rPr>
        <w:t>人的五险一金等工资福利，2021年度我街道</w:t>
      </w:r>
      <w:r>
        <w:rPr>
          <w:rFonts w:hint="eastAsia" w:ascii="仿宋_GB2312" w:hAnsi="仿宋_GB2312" w:eastAsia="仿宋_GB2312" w:cs="仿宋_GB2312"/>
          <w:b w:val="0"/>
          <w:sz w:val="32"/>
          <w:szCs w:val="32"/>
          <w:lang w:eastAsia="zh-CN" w:bidi="ar-SA"/>
        </w:rPr>
        <w:t>10</w:t>
      </w:r>
      <w:r>
        <w:rPr>
          <w:rFonts w:hint="eastAsia" w:ascii="仿宋_GB2312" w:hAnsi="仿宋_GB2312" w:eastAsia="仿宋_GB2312" w:cs="仿宋_GB2312"/>
          <w:b w:val="0"/>
          <w:sz w:val="32"/>
          <w:szCs w:val="32"/>
          <w:lang w:bidi="ar-SA"/>
        </w:rPr>
        <w:t>个社区的居委会成员、事务监督都领取到了应得的工资报酬，绩效指标完成情况为优;成效指标--确保工作人员的工资待遇，使之更好地居民服务，提高辖区群众满意率:绩效目标为全年法定工作日为辖区居民提供优质的服务，提高辖区群众满意率，2021年度实际每个法定工作日均为辖区居民提供优质服务，提高辖区群众满意率</w:t>
      </w:r>
      <w:r>
        <w:rPr>
          <w:rFonts w:hint="eastAsia" w:ascii="仿宋_GB2312" w:hAnsi="仿宋_GB2312" w:eastAsia="仿宋_GB2312" w:cs="仿宋_GB2312"/>
          <w:b w:val="0"/>
          <w:sz w:val="32"/>
          <w:szCs w:val="32"/>
          <w:lang w:eastAsia="zh-CN" w:bidi="ar-SA"/>
        </w:rPr>
        <w:t>10</w:t>
      </w:r>
      <w:r>
        <w:rPr>
          <w:rFonts w:hint="eastAsia" w:ascii="仿宋_GB2312" w:hAnsi="仿宋_GB2312" w:eastAsia="仿宋_GB2312" w:cs="仿宋_GB2312"/>
          <w:b w:val="0"/>
          <w:sz w:val="32"/>
          <w:szCs w:val="32"/>
          <w:lang w:bidi="ar-SA"/>
        </w:rPr>
        <w:t>0%上，绩效指标完成情况为优。</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二、项目决策及资金使用及管理情况</w:t>
      </w:r>
    </w:p>
    <w:p>
      <w:pPr>
        <w:spacing w:line="530" w:lineRule="exact"/>
        <w:ind w:firstLine="480" w:firstLineChars="1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(一)项目决策情况(包括决策过程和结果)村(社区)基层干部补贴项目根据区有关职能部门核定的有关人员工资和五险一金标准。该项目资金全部用于街道居委会人员</w:t>
      </w:r>
      <w:r>
        <w:rPr>
          <w:rFonts w:hint="eastAsia" w:ascii="仿宋_GB2312" w:hAnsi="仿宋_GB2312" w:eastAsia="仿宋_GB2312" w:cs="仿宋_GB2312"/>
          <w:b w:val="0"/>
          <w:sz w:val="32"/>
          <w:szCs w:val="32"/>
          <w:lang w:val="en-US" w:eastAsia="zh-CN" w:bidi="ar-SA"/>
        </w:rPr>
        <w:t>66</w:t>
      </w:r>
      <w:r>
        <w:rPr>
          <w:rFonts w:hint="eastAsia" w:ascii="仿宋_GB2312" w:hAnsi="仿宋_GB2312" w:eastAsia="仿宋_GB2312" w:cs="仿宋_GB2312"/>
          <w:b w:val="0"/>
          <w:sz w:val="32"/>
          <w:szCs w:val="32"/>
          <w:lang w:bidi="ar-SA"/>
        </w:rPr>
        <w:t>人、居民小组长</w:t>
      </w:r>
      <w:r>
        <w:rPr>
          <w:rFonts w:hint="eastAsia" w:ascii="仿宋_GB2312" w:hAnsi="仿宋_GB2312" w:eastAsia="仿宋_GB2312" w:cs="仿宋_GB2312"/>
          <w:b w:val="0"/>
          <w:sz w:val="32"/>
          <w:szCs w:val="32"/>
          <w:lang w:val="en-US" w:eastAsia="zh-CN" w:bidi="ar-SA"/>
        </w:rPr>
        <w:t>118</w:t>
      </w:r>
      <w:r>
        <w:rPr>
          <w:rFonts w:hint="eastAsia" w:ascii="仿宋_GB2312" w:hAnsi="仿宋_GB2312" w:eastAsia="仿宋_GB2312" w:cs="仿宋_GB2312"/>
          <w:b w:val="0"/>
          <w:sz w:val="32"/>
          <w:szCs w:val="32"/>
          <w:lang w:bidi="ar-SA"/>
        </w:rPr>
        <w:t>人、监督员</w:t>
      </w:r>
      <w:r>
        <w:rPr>
          <w:rFonts w:hint="eastAsia" w:ascii="仿宋_GB2312" w:hAnsi="仿宋_GB2312" w:eastAsia="仿宋_GB2312" w:cs="仿宋_GB2312"/>
          <w:b w:val="0"/>
          <w:sz w:val="32"/>
          <w:szCs w:val="32"/>
          <w:lang w:val="en-US" w:eastAsia="zh-CN" w:bidi="ar-SA"/>
        </w:rPr>
        <w:t>30</w:t>
      </w:r>
      <w:r>
        <w:rPr>
          <w:rFonts w:hint="eastAsia" w:ascii="仿宋_GB2312" w:hAnsi="仿宋_GB2312" w:eastAsia="仿宋_GB2312" w:cs="仿宋_GB2312"/>
          <w:b w:val="0"/>
          <w:sz w:val="32"/>
          <w:szCs w:val="32"/>
          <w:lang w:bidi="ar-SA"/>
        </w:rPr>
        <w:t>人、非公党支部书记</w:t>
      </w:r>
      <w:r>
        <w:rPr>
          <w:rFonts w:hint="eastAsia" w:ascii="仿宋_GB2312" w:hAnsi="仿宋_GB2312" w:eastAsia="仿宋_GB2312" w:cs="仿宋_GB2312"/>
          <w:b w:val="0"/>
          <w:sz w:val="32"/>
          <w:szCs w:val="32"/>
          <w:lang w:val="en-US" w:eastAsia="zh-CN" w:bidi="ar-SA"/>
        </w:rPr>
        <w:t>9</w:t>
      </w:r>
      <w:r>
        <w:rPr>
          <w:rFonts w:hint="eastAsia" w:ascii="仿宋_GB2312" w:hAnsi="仿宋_GB2312" w:eastAsia="仿宋_GB2312" w:cs="仿宋_GB2312"/>
          <w:b w:val="0"/>
          <w:sz w:val="32"/>
          <w:szCs w:val="32"/>
          <w:lang w:bidi="ar-SA"/>
        </w:rPr>
        <w:t>人、下岗破产国有企业书记4人、离任村干部</w:t>
      </w:r>
      <w:r>
        <w:rPr>
          <w:rFonts w:hint="eastAsia" w:ascii="仿宋_GB2312" w:hAnsi="仿宋_GB2312" w:eastAsia="仿宋_GB2312" w:cs="仿宋_GB2312"/>
          <w:b w:val="0"/>
          <w:sz w:val="32"/>
          <w:szCs w:val="32"/>
          <w:lang w:val="en-US" w:eastAsia="zh-CN" w:bidi="ar-SA"/>
        </w:rPr>
        <w:t>16</w:t>
      </w:r>
      <w:r>
        <w:rPr>
          <w:rFonts w:hint="eastAsia" w:ascii="仿宋_GB2312" w:hAnsi="仿宋_GB2312" w:eastAsia="仿宋_GB2312" w:cs="仿宋_GB2312"/>
          <w:b w:val="0"/>
          <w:sz w:val="32"/>
          <w:szCs w:val="32"/>
          <w:lang w:bidi="ar-SA"/>
        </w:rPr>
        <w:t>人工资等及时发放和缴纳。财务部门需严格执行资金管理制度，从制表、审批到发放，每个环节都需详细核对，层层把关，保证资金的合理使用，并按时发放到位。</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(二)项目资金(包括财政资金、自筹资金等)安排落实、总投入等情况村(社区)基层干部补贴预算批复金额</w:t>
      </w:r>
      <w:r>
        <w:rPr>
          <w:rFonts w:hint="eastAsia" w:ascii="仿宋_GB2312" w:hAnsi="仿宋_GB2312" w:eastAsia="仿宋_GB2312" w:cs="仿宋_GB2312"/>
          <w:b w:val="0"/>
          <w:sz w:val="32"/>
          <w:szCs w:val="32"/>
          <w:lang w:val="en-US" w:eastAsia="zh-CN" w:bidi="ar-SA"/>
        </w:rPr>
        <w:t>477.3</w:t>
      </w:r>
      <w:r>
        <w:rPr>
          <w:rFonts w:hint="eastAsia" w:ascii="仿宋_GB2312" w:hAnsi="仿宋_GB2312" w:eastAsia="仿宋_GB2312" w:cs="仿宋_GB2312"/>
          <w:b w:val="0"/>
          <w:sz w:val="32"/>
          <w:szCs w:val="32"/>
          <w:lang w:bidi="ar-SA"/>
        </w:rPr>
        <w:t xml:space="preserve">万元，及时收到龙华区财政局下拨资金 </w:t>
      </w:r>
      <w:r>
        <w:rPr>
          <w:rFonts w:hint="eastAsia" w:ascii="仿宋_GB2312" w:hAnsi="仿宋_GB2312" w:eastAsia="仿宋_GB2312" w:cs="仿宋_GB2312"/>
          <w:b w:val="0"/>
          <w:sz w:val="32"/>
          <w:szCs w:val="32"/>
          <w:lang w:val="en-US" w:eastAsia="zh-CN" w:bidi="ar-SA"/>
        </w:rPr>
        <w:t>477.3</w:t>
      </w:r>
      <w:r>
        <w:rPr>
          <w:rFonts w:hint="eastAsia" w:ascii="仿宋_GB2312" w:hAnsi="仿宋_GB2312" w:eastAsia="仿宋_GB2312" w:cs="仿宋_GB2312"/>
          <w:b w:val="0"/>
          <w:sz w:val="32"/>
          <w:szCs w:val="32"/>
          <w:lang w:bidi="ar-SA"/>
        </w:rPr>
        <w:t xml:space="preserve"> 万元，资金到位率 100%。</w:t>
      </w:r>
      <w:r>
        <w:rPr>
          <w:rFonts w:hint="eastAsia" w:ascii="仿宋_GB2312" w:hAnsi="仿宋_GB2312" w:eastAsia="仿宋_GB2312" w:cs="仿宋_GB2312"/>
          <w:b w:val="0"/>
          <w:sz w:val="32"/>
          <w:szCs w:val="32"/>
          <w:lang w:eastAsia="zh-CN" w:bidi="ar-SA"/>
        </w:rPr>
        <w:t>金宇</w:t>
      </w:r>
      <w:r>
        <w:rPr>
          <w:rFonts w:hint="eastAsia" w:ascii="仿宋_GB2312" w:hAnsi="仿宋_GB2312" w:eastAsia="仿宋_GB2312" w:cs="仿宋_GB2312"/>
          <w:b w:val="0"/>
          <w:sz w:val="32"/>
          <w:szCs w:val="32"/>
          <w:lang w:bidi="ar-SA"/>
        </w:rPr>
        <w:t>街道办事处是龙华区人民政府的派出机构，是代表区政府对街道辖区行使管理职权的基层行政组织，行使区政府赋予的职权，所需资金按规定由地方财政全额拨款，项目无自筹资金。</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(三)项目资金使用情况分析截至2021年12月31日，项目资金使用</w:t>
      </w:r>
      <w:r>
        <w:rPr>
          <w:rFonts w:hint="eastAsia" w:ascii="仿宋_GB2312" w:hAnsi="仿宋_GB2312" w:eastAsia="仿宋_GB2312" w:cs="仿宋_GB2312"/>
          <w:b w:val="0"/>
          <w:sz w:val="32"/>
          <w:szCs w:val="32"/>
          <w:lang w:val="en-US" w:eastAsia="zh-CN" w:bidi="ar-SA"/>
        </w:rPr>
        <w:t>472.2</w:t>
      </w:r>
      <w:r>
        <w:rPr>
          <w:rFonts w:hint="eastAsia" w:ascii="仿宋_GB2312" w:hAnsi="仿宋_GB2312" w:eastAsia="仿宋_GB2312" w:cs="仿宋_GB2312"/>
          <w:b w:val="0"/>
          <w:sz w:val="32"/>
          <w:szCs w:val="32"/>
          <w:lang w:bidi="ar-SA"/>
        </w:rPr>
        <w:t xml:space="preserve">万元，资金使用率 </w:t>
      </w:r>
      <w:r>
        <w:rPr>
          <w:rFonts w:hint="eastAsia" w:ascii="仿宋_GB2312" w:hAnsi="仿宋_GB2312" w:eastAsia="仿宋_GB2312" w:cs="仿宋_GB2312"/>
          <w:b w:val="0"/>
          <w:sz w:val="32"/>
          <w:szCs w:val="32"/>
          <w:lang w:val="en-US" w:eastAsia="zh-CN" w:bidi="ar-SA"/>
        </w:rPr>
        <w:t>99</w:t>
      </w:r>
      <w:r>
        <w:rPr>
          <w:rFonts w:hint="eastAsia" w:ascii="仿宋_GB2312" w:hAnsi="仿宋_GB2312" w:eastAsia="仿宋_GB2312" w:cs="仿宋_GB2312"/>
          <w:b w:val="0"/>
          <w:sz w:val="32"/>
          <w:szCs w:val="32"/>
          <w:lang w:bidi="ar-SA"/>
        </w:rPr>
        <w:t>%。</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(四)项目资金管理情况分析(包括管理制度、办法的制订及执行情况等)海口市龙华区</w:t>
      </w:r>
      <w:r>
        <w:rPr>
          <w:rFonts w:hint="eastAsia" w:ascii="仿宋_GB2312" w:hAnsi="仿宋_GB2312" w:eastAsia="仿宋_GB2312" w:cs="仿宋_GB2312"/>
          <w:b w:val="0"/>
          <w:sz w:val="32"/>
          <w:szCs w:val="32"/>
          <w:lang w:eastAsia="zh-CN" w:bidi="ar-SA"/>
        </w:rPr>
        <w:t>金宇</w:t>
      </w:r>
      <w:r>
        <w:rPr>
          <w:rFonts w:hint="eastAsia" w:ascii="仿宋_GB2312" w:hAnsi="仿宋_GB2312" w:eastAsia="仿宋_GB2312" w:cs="仿宋_GB2312"/>
          <w:b w:val="0"/>
          <w:sz w:val="32"/>
          <w:szCs w:val="32"/>
          <w:lang w:bidi="ar-SA"/>
        </w:rPr>
        <w:t>街道办事处各项目资金严格按照《海口市龙华区财务制度申报与使用管理办法》执行，是一个独立核算的部门，做到专款专用。项目资金管理严格按照龙华区相关财务制度执行，做到独立科目核算，专款专用，单位实行报账制度，账务统一由海口市龙华区国库支付局统一核算。</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三、项目组织实施情况</w:t>
      </w:r>
    </w:p>
    <w:p>
      <w:pPr>
        <w:spacing w:line="530" w:lineRule="exact"/>
        <w:ind w:firstLine="640" w:firstLineChars="20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(一)项目组织情况分析(包括项目招投标情况、调整情况、完成验收等)该项目属于经常性项目，没有达到招标投标权限，由本单位自行组织实施。实施过程都是按照本单位制定的管理制度来执行。</w:t>
      </w:r>
    </w:p>
    <w:p>
      <w:pPr>
        <w:spacing w:line="530" w:lineRule="exact"/>
        <w:ind w:firstLine="480" w:firstLineChars="1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(二)项目管理情况(包括项目管理制度建设、日常检查监督管理等情况)项目管理按照《海口市龙华区</w:t>
      </w:r>
      <w:r>
        <w:rPr>
          <w:rFonts w:hint="eastAsia" w:ascii="仿宋_GB2312" w:hAnsi="仿宋_GB2312" w:eastAsia="仿宋_GB2312" w:cs="仿宋_GB2312"/>
          <w:b w:val="0"/>
          <w:sz w:val="32"/>
          <w:szCs w:val="32"/>
          <w:lang w:eastAsia="zh-CN" w:bidi="ar-SA"/>
        </w:rPr>
        <w:t>金宇</w:t>
      </w:r>
      <w:r>
        <w:rPr>
          <w:rFonts w:hint="eastAsia" w:ascii="仿宋_GB2312" w:hAnsi="仿宋_GB2312" w:eastAsia="仿宋_GB2312" w:cs="仿宋_GB2312"/>
          <w:b w:val="0"/>
          <w:sz w:val="32"/>
          <w:szCs w:val="32"/>
          <w:lang w:bidi="ar-SA"/>
        </w:rPr>
        <w:t>街道办事处财务报销制度》执行，对项目实施实行项目管理责任制，项目负责人根据通过的项目计划和实施方案，具体组织项目实施。财务室按照财务、预算管理制度，对专项资金项目的实施、付款环节进行管理和监督。</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四、项目绩效情况</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(一)项目绩效目标完成情况</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1.项目的经济性分析</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(1)项目成本(预算)控制情况</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2021年度，村(社区)基层干部补贴项目预算</w:t>
      </w:r>
      <w:r>
        <w:rPr>
          <w:rFonts w:hint="eastAsia" w:ascii="仿宋_GB2312" w:hAnsi="仿宋_GB2312" w:eastAsia="仿宋_GB2312" w:cs="仿宋_GB2312"/>
          <w:b w:val="0"/>
          <w:sz w:val="32"/>
          <w:szCs w:val="32"/>
          <w:lang w:val="en-US" w:eastAsia="zh-CN" w:bidi="ar-SA"/>
        </w:rPr>
        <w:t>477.2</w:t>
      </w:r>
      <w:r>
        <w:rPr>
          <w:rFonts w:hint="eastAsia" w:ascii="仿宋_GB2312" w:hAnsi="仿宋_GB2312" w:eastAsia="仿宋_GB2312" w:cs="仿宋_GB2312"/>
          <w:b w:val="0"/>
          <w:sz w:val="32"/>
          <w:szCs w:val="32"/>
          <w:lang w:bidi="ar-SA"/>
        </w:rPr>
        <w:t>万元，项目实际支出</w:t>
      </w:r>
      <w:r>
        <w:rPr>
          <w:rFonts w:hint="eastAsia" w:ascii="仿宋_GB2312" w:hAnsi="仿宋_GB2312" w:eastAsia="仿宋_GB2312" w:cs="仿宋_GB2312"/>
          <w:b w:val="0"/>
          <w:sz w:val="32"/>
          <w:szCs w:val="32"/>
          <w:lang w:val="en-US" w:eastAsia="zh-CN" w:bidi="ar-SA"/>
        </w:rPr>
        <w:t>472.2</w:t>
      </w:r>
      <w:r>
        <w:rPr>
          <w:rFonts w:hint="eastAsia" w:ascii="仿宋_GB2312" w:hAnsi="仿宋_GB2312" w:eastAsia="仿宋_GB2312" w:cs="仿宋_GB2312"/>
          <w:b w:val="0"/>
          <w:sz w:val="32"/>
          <w:szCs w:val="32"/>
          <w:lang w:bidi="ar-SA"/>
        </w:rPr>
        <w:t>万元。本项目主要用于2021年度辖区</w:t>
      </w:r>
      <w:r>
        <w:rPr>
          <w:rFonts w:hint="eastAsia" w:ascii="仿宋_GB2312" w:hAnsi="仿宋_GB2312" w:eastAsia="仿宋_GB2312" w:cs="仿宋_GB2312"/>
          <w:b w:val="0"/>
          <w:sz w:val="32"/>
          <w:szCs w:val="32"/>
          <w:lang w:eastAsia="zh-CN" w:bidi="ar-SA"/>
        </w:rPr>
        <w:t>10</w:t>
      </w:r>
      <w:r>
        <w:rPr>
          <w:rFonts w:hint="eastAsia" w:ascii="仿宋_GB2312" w:hAnsi="仿宋_GB2312" w:eastAsia="仿宋_GB2312" w:cs="仿宋_GB2312"/>
          <w:b w:val="0"/>
          <w:sz w:val="32"/>
          <w:szCs w:val="32"/>
          <w:lang w:bidi="ar-SA"/>
        </w:rPr>
        <w:t>个社区居委会人员工资和五险一金;居民小组长、下岗破产国有企业书记、事务监督员补贴、离任村干部、非公党支部书记等人员工作补贴。因为有人员减少，资金未使用完，有节余后于年底上缴国库。(2)本项目严格按照年初预算严格控制项目具体支出，此项目没有节约。本项目有限的资金使用过程中，保证资金使用效率的首位，不浪费没有必要的开支，严格把控费用支出把费用降到大家比较满意的水平上。未使用完的资金于年底上缴国库。</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2.项目的效率性分析</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(1)项目的实施进度</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预算资金到位，直接完成支付，按进度完成该项目。</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(2)项目完成质量</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2021年村(社区)基层干部补贴严格按照预算实施，完成质量良好。</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3.项目的有效性分析</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(1)项目预期目标完成程度</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2021村(社区)基层干部补贴项目完成了当年的预期目标。</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(2)项目实施对经济和社会的影响</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村(社区)基层干部补贴是按中共海口市委办公厅文件海办发(2015)18号文精神，为进一步加强基层干部队伍建设，激发村(社区)“两委”班子成员干事创业的热情，按照中央和省委的有关要求，结合我市实际,经市委、市政府研究决定对基层组织工作经费和村(社区)基层干部补贴标准进行的适当调整。</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4.项目的可持续性分析</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eastAsia="zh-CN" w:bidi="ar-SA"/>
        </w:rPr>
        <w:t>金宇</w:t>
      </w:r>
      <w:r>
        <w:rPr>
          <w:rFonts w:hint="eastAsia" w:ascii="仿宋_GB2312" w:hAnsi="仿宋_GB2312" w:eastAsia="仿宋_GB2312" w:cs="仿宋_GB2312"/>
          <w:b w:val="0"/>
          <w:sz w:val="32"/>
          <w:szCs w:val="32"/>
          <w:lang w:bidi="ar-SA"/>
        </w:rPr>
        <w:t>街道办事处是龙华区人民政府的派出机构，是代表区政府对街道辖区行使管理职权的基层行政组织，行使区政府赋予的职权，在街道工委直接领导下开展工作，由龙华区财政每年全额拨款，保障项目的可持续性。</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(二)项目绩效目标未完成原因分析</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2021年村(社区)基层干部补贴项目已完成项目预期绩效目标。</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五、其他需说明的问题(一)后续工作计划</w:t>
      </w:r>
    </w:p>
    <w:p>
      <w:p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海口市龙华区</w:t>
      </w:r>
      <w:r>
        <w:rPr>
          <w:rFonts w:hint="eastAsia" w:ascii="仿宋_GB2312" w:hAnsi="仿宋_GB2312" w:eastAsia="仿宋_GB2312" w:cs="仿宋_GB2312"/>
          <w:b w:val="0"/>
          <w:sz w:val="32"/>
          <w:szCs w:val="32"/>
          <w:lang w:eastAsia="zh-CN" w:bidi="ar-SA"/>
        </w:rPr>
        <w:t>金宇</w:t>
      </w:r>
      <w:r>
        <w:rPr>
          <w:rFonts w:hint="eastAsia" w:ascii="仿宋_GB2312" w:hAnsi="仿宋_GB2312" w:eastAsia="仿宋_GB2312" w:cs="仿宋_GB2312"/>
          <w:b w:val="0"/>
          <w:sz w:val="32"/>
          <w:szCs w:val="32"/>
          <w:lang w:bidi="ar-SA"/>
        </w:rPr>
        <w:t>街道办事处各项目资金将严格按照《海口市龙华区财务制度申报与使用管理办法》执行，做到专款专用。项目资金管理严格按照龙华区相关财务制度执行，做到独立科目核算，专款专用，单位实行报账制度，账务统一由海口市龙华区国库支付局统一核算。</w:t>
      </w:r>
    </w:p>
    <w:p>
      <w:pPr>
        <w:numPr>
          <w:ilvl w:val="0"/>
          <w:numId w:val="1"/>
        </w:numPr>
        <w:spacing w:line="530" w:lineRule="exact"/>
        <w:ind w:firstLine="160" w:firstLineChars="50"/>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主要经验及做法、存在的问题和建议</w:t>
      </w:r>
    </w:p>
    <w:p>
      <w:pPr>
        <w:numPr>
          <w:ilvl w:val="0"/>
          <w:numId w:val="0"/>
        </w:numPr>
        <w:spacing w:line="530" w:lineRule="exact"/>
        <w:jc w:val="both"/>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由于绩效自评是一项开展不久的工作任务，项目支出运行实践经验还欠缺，我办相关制度建设还有待进一步加强。</w:t>
      </w:r>
    </w:p>
    <w:p>
      <w:pPr>
        <w:spacing w:line="530" w:lineRule="exact"/>
        <w:ind w:firstLine="160" w:firstLineChars="50"/>
        <w:jc w:val="center"/>
        <w:rPr>
          <w:rFonts w:hint="eastAsia" w:ascii="仿宋_GB2312" w:hAnsi="仿宋_GB2312" w:eastAsia="仿宋_GB2312" w:cs="仿宋_GB2312"/>
          <w:b w:val="0"/>
          <w:sz w:val="32"/>
          <w:szCs w:val="32"/>
          <w:lang w:bidi="ar-SA"/>
        </w:rPr>
      </w:pPr>
    </w:p>
    <w:p>
      <w:pPr>
        <w:spacing w:line="530" w:lineRule="exact"/>
        <w:ind w:firstLine="160" w:firstLineChars="50"/>
        <w:jc w:val="center"/>
        <w:rPr>
          <w:rFonts w:hint="eastAsia" w:ascii="仿宋_GB2312" w:hAnsi="仿宋_GB2312" w:eastAsia="仿宋_GB2312" w:cs="仿宋_GB2312"/>
          <w:b w:val="0"/>
          <w:sz w:val="32"/>
          <w:szCs w:val="32"/>
          <w:lang w:bidi="ar-SA"/>
        </w:rPr>
      </w:pPr>
      <w:r>
        <w:rPr>
          <w:rFonts w:hint="eastAsia" w:ascii="仿宋_GB2312" w:hAnsi="仿宋_GB2312" w:eastAsia="仿宋_GB2312" w:cs="仿宋_GB2312"/>
          <w:b w:val="0"/>
          <w:sz w:val="32"/>
          <w:szCs w:val="32"/>
          <w:lang w:bidi="ar-SA"/>
        </w:rPr>
        <w:t>附:村(社区)基层干部补贴项目目标自评表</w:t>
      </w:r>
    </w:p>
    <w:p>
      <w:pPr>
        <w:spacing w:line="240" w:lineRule="auto"/>
        <w:ind w:firstLine="0" w:firstLineChars="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评价单位（盖章）：</w:t>
      </w: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ind w:firstLine="5120" w:firstLineChars="1600"/>
        <w:outlineLvl w:val="0"/>
        <w:rPr>
          <w:rFonts w:hint="eastAsia" w:ascii="仿宋_GB2312" w:hAnsi="仿宋_GB2312" w:eastAsia="仿宋_GB2312" w:cs="仿宋_GB2312"/>
          <w:sz w:val="32"/>
          <w:szCs w:val="32"/>
        </w:rPr>
      </w:pPr>
    </w:p>
    <w:p>
      <w:pPr>
        <w:spacing w:line="240" w:lineRule="auto"/>
        <w:outlineLvl w:val="0"/>
        <w:rPr>
          <w:rFonts w:hint="eastAsia" w:ascii="仿宋_GB2312" w:hAnsi="仿宋_GB2312" w:eastAsia="仿宋_GB2312" w:cs="仿宋_GB2312"/>
          <w:sz w:val="32"/>
          <w:szCs w:val="32"/>
        </w:rPr>
      </w:pPr>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ngsana New">
    <w:panose1 w:val="020206030504050203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DaunPenh">
    <w:panose1 w:val="01010101010101010101"/>
    <w:charset w:val="00"/>
    <w:family w:val="auto"/>
    <w:pitch w:val="default"/>
    <w:sig w:usb0="00000003" w:usb1="00000000" w:usb2="00010000" w:usb3="00000000" w:csb0="00000001" w:csb1="00000000"/>
  </w:font>
  <w:font w:name="Batang">
    <w:panose1 w:val="02030600000101010101"/>
    <w:charset w:val="81"/>
    <w:family w:val="auto"/>
    <w:pitch w:val="default"/>
    <w:sig w:usb0="B00002AF" w:usb1="69D77CFB" w:usb2="00000030" w:usb3="00000000" w:csb0="4008009F" w:csb1="DFD70000"/>
  </w:font>
  <w:font w:name="Aparajita">
    <w:panose1 w:val="020B0604020202020204"/>
    <w:charset w:val="00"/>
    <w:family w:val="auto"/>
    <w:pitch w:val="default"/>
    <w:sig w:usb0="00008003" w:usb1="00000000" w:usb2="00000000" w:usb3="00000000" w:csb0="00000001"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F4039"/>
    <w:multiLevelType w:val="singleLevel"/>
    <w:tmpl w:val="01EF4039"/>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NTFiNTZjZmE4NDI1OGQ0ZmQwYTdhYmRiOWVkMjUifQ=="/>
  </w:docVars>
  <w:rsids>
    <w:rsidRoot w:val="00172A27"/>
    <w:rsid w:val="00164C26"/>
    <w:rsid w:val="0CE22F77"/>
    <w:rsid w:val="118A73CA"/>
    <w:rsid w:val="11E42160"/>
    <w:rsid w:val="12AF6F40"/>
    <w:rsid w:val="1C2F2A35"/>
    <w:rsid w:val="1E277593"/>
    <w:rsid w:val="1E967206"/>
    <w:rsid w:val="207277FE"/>
    <w:rsid w:val="20AC2D10"/>
    <w:rsid w:val="23897339"/>
    <w:rsid w:val="259432D3"/>
    <w:rsid w:val="27F45A06"/>
    <w:rsid w:val="282B6C11"/>
    <w:rsid w:val="28442410"/>
    <w:rsid w:val="32A001FB"/>
    <w:rsid w:val="34450B3B"/>
    <w:rsid w:val="34BE01D9"/>
    <w:rsid w:val="413868D0"/>
    <w:rsid w:val="4400059A"/>
    <w:rsid w:val="46DD4A8D"/>
    <w:rsid w:val="493D634C"/>
    <w:rsid w:val="49A87C69"/>
    <w:rsid w:val="4BB01057"/>
    <w:rsid w:val="4C343A36"/>
    <w:rsid w:val="4D73058E"/>
    <w:rsid w:val="4DF72F6D"/>
    <w:rsid w:val="4EAF4FFC"/>
    <w:rsid w:val="5CF52D6E"/>
    <w:rsid w:val="638E6F35"/>
    <w:rsid w:val="647B4435"/>
    <w:rsid w:val="6D2D20B0"/>
    <w:rsid w:val="71732FE1"/>
    <w:rsid w:val="732775A1"/>
    <w:rsid w:val="74C445A9"/>
    <w:rsid w:val="75B73669"/>
    <w:rsid w:val="77C01028"/>
    <w:rsid w:val="78560FF4"/>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2321</Words>
  <Characters>2420</Characters>
  <Lines>1</Lines>
  <Paragraphs>1</Paragraphs>
  <TotalTime>26</TotalTime>
  <ScaleCrop>false</ScaleCrop>
  <LinksUpToDate>false</LinksUpToDate>
  <CharactersWithSpaces>2425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Administrator</cp:lastModifiedBy>
  <dcterms:modified xsi:type="dcterms:W3CDTF">2022-07-13T01:58:25Z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D84123AB3B354C0297DE593C6E161627</vt:lpwstr>
  </property>
</Properties>
</file>