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海口市龙华</w:t>
      </w:r>
      <w:r>
        <w:rPr>
          <w:rFonts w:hint="eastAsia" w:ascii="方正小标宋简体" w:hAnsi="方正小标宋简体" w:eastAsia="方正小标宋简体" w:cs="方正小标宋简体"/>
          <w:b w:val="0"/>
          <w:bCs w:val="0"/>
          <w:sz w:val="44"/>
          <w:szCs w:val="44"/>
        </w:rPr>
        <w:t>区商务局</w:t>
      </w:r>
      <w:r>
        <w:rPr>
          <w:rFonts w:hint="eastAsia" w:ascii="方正小标宋简体" w:hAnsi="方正小标宋简体" w:eastAsia="方正小标宋简体" w:cs="方正小标宋简体"/>
          <w:b w:val="0"/>
          <w:bCs w:val="0"/>
          <w:sz w:val="44"/>
          <w:szCs w:val="44"/>
          <w:lang w:val="en-US" w:eastAsia="zh-CN"/>
        </w:rPr>
        <w:t>2023年工作计划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（2022年1</w:t>
      </w:r>
      <w:r>
        <w:rPr>
          <w:rFonts w:hint="default"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lang w:val="en-US" w:eastAsia="zh-CN"/>
        </w:rPr>
        <w:t>月</w:t>
      </w:r>
      <w:r>
        <w:rPr>
          <w:rFonts w:hint="default" w:ascii="楷体_GB2312" w:hAnsi="楷体_GB2312" w:eastAsia="楷体_GB2312" w:cs="楷体_GB2312"/>
          <w:b/>
          <w:bCs/>
          <w:sz w:val="32"/>
          <w:szCs w:val="32"/>
          <w:lang w:val="en-US" w:eastAsia="zh-CN"/>
        </w:rPr>
        <w:t>24</w:t>
      </w:r>
      <w:r>
        <w:rPr>
          <w:rFonts w:hint="eastAsia" w:ascii="楷体_GB2312" w:hAnsi="楷体_GB2312" w:eastAsia="楷体_GB2312" w:cs="楷体_GB2312"/>
          <w:b/>
          <w:bCs/>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val="en-US" w:eastAsia="zh-CN"/>
        </w:rPr>
        <w:t>一、</w:t>
      </w:r>
      <w:r>
        <w:rPr>
          <w:rFonts w:hint="default" w:ascii="黑体" w:hAnsi="黑体" w:eastAsia="黑体" w:cs="黑体"/>
          <w:b w:val="0"/>
          <w:bCs w:val="0"/>
          <w:sz w:val="32"/>
          <w:szCs w:val="32"/>
          <w:lang w:val="en-US" w:eastAsia="zh-CN"/>
        </w:rPr>
        <w:t>持续</w:t>
      </w:r>
      <w:r>
        <w:rPr>
          <w:rFonts w:hint="eastAsia" w:ascii="楷体_GB2312" w:hAnsi="楷体_GB2312" w:eastAsia="楷体_GB2312" w:cs="楷体_GB2312"/>
          <w:b/>
          <w:bCs/>
          <w:sz w:val="32"/>
          <w:szCs w:val="32"/>
          <w:lang w:val="en-US" w:eastAsia="zh-CN"/>
        </w:rPr>
        <w:t>走访企业服务重点对象</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b w:val="0"/>
          <w:bCs w:val="0"/>
          <w:sz w:val="32"/>
          <w:szCs w:val="32"/>
          <w:lang w:val="en-US" w:eastAsia="zh-CN"/>
        </w:rPr>
        <w:t>结合“万名干部下企业”活动，</w:t>
      </w:r>
      <w:r>
        <w:rPr>
          <w:rFonts w:hint="eastAsia" w:ascii="仿宋_GB2312" w:hAnsi="仿宋_GB2312" w:eastAsia="仿宋_GB2312" w:cs="仿宋_GB2312"/>
          <w:b w:val="0"/>
          <w:bCs w:val="0"/>
          <w:sz w:val="32"/>
          <w:szCs w:val="32"/>
          <w:lang w:eastAsia="zh-CN"/>
        </w:rPr>
        <w:t>更加关注“专精特新”企业</w:t>
      </w:r>
      <w:r>
        <w:rPr>
          <w:rFonts w:hint="eastAsia" w:ascii="仿宋_GB2312" w:hAnsi="仿宋_GB2312" w:eastAsia="仿宋_GB2312" w:cs="仿宋_GB2312"/>
          <w:sz w:val="32"/>
          <w:szCs w:val="32"/>
          <w:lang w:eastAsia="zh-CN"/>
        </w:rPr>
        <w:t>，深化“项目为王”的理念，在有发展潜力并且符合自贸港鼓励类的项目上，长期跟踪</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eastAsia="zh-CN"/>
        </w:rPr>
        <w:t>通过</w:t>
      </w:r>
      <w:r>
        <w:rPr>
          <w:rFonts w:hint="eastAsia" w:ascii="仿宋_GB2312" w:hAnsi="仿宋_GB2312" w:eastAsia="仿宋_GB2312" w:cs="仿宋_GB2312"/>
          <w:b w:val="0"/>
          <w:bCs w:val="0"/>
          <w:sz w:val="32"/>
          <w:szCs w:val="32"/>
          <w:lang w:val="en-US" w:eastAsia="zh-CN"/>
        </w:rPr>
        <w:t>走访挖潜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鼓励批发、零售、外贸、餐饮、服务贸易等排名前十名的重点企业加大营收，为我区GDP多做贡献，力足把营商环境打造成造福龙华的“金饭碗”。</w:t>
      </w:r>
    </w:p>
    <w:p>
      <w:pPr>
        <w:keepNext w:val="0"/>
        <w:keepLines w:val="0"/>
        <w:pageBreakBefore w:val="0"/>
        <w:kinsoku/>
        <w:wordWrap/>
        <w:overflowPunct/>
        <w:topLinePunct w:val="0"/>
        <w:autoSpaceDE/>
        <w:autoSpaceDN/>
        <w:bidi w:val="0"/>
        <w:adjustRightInd/>
        <w:snapToGrid/>
        <w:spacing w:line="560" w:lineRule="exact"/>
        <w:ind w:left="0" w:firstLine="643" w:firstLineChars="200"/>
        <w:jc w:val="both"/>
        <w:rPr>
          <w:rFonts w:hint="eastAsia"/>
          <w:b w:val="0"/>
          <w:bCs w:val="0"/>
          <w:lang w:val="en-US" w:eastAsia="zh-CN"/>
        </w:rPr>
      </w:pPr>
      <w:r>
        <w:rPr>
          <w:rFonts w:hint="eastAsia" w:ascii="楷体_GB2312" w:hAnsi="楷体_GB2312" w:eastAsia="楷体_GB2312" w:cs="楷体_GB2312"/>
          <w:b/>
          <w:bCs/>
          <w:kern w:val="2"/>
          <w:sz w:val="32"/>
          <w:szCs w:val="32"/>
          <w:lang w:val="en-US" w:eastAsia="zh-CN" w:bidi="ar-SA"/>
        </w:rPr>
        <w:t>二</w:t>
      </w:r>
      <w:r>
        <w:rPr>
          <w:rFonts w:hint="default" w:ascii="楷体_GB2312" w:hAnsi="楷体_GB2312" w:eastAsia="楷体_GB2312" w:cs="楷体_GB2312"/>
          <w:b/>
          <w:bCs/>
          <w:kern w:val="2"/>
          <w:sz w:val="32"/>
          <w:szCs w:val="32"/>
          <w:lang w:val="en-US" w:eastAsia="zh-CN" w:bidi="ar-SA"/>
        </w:rPr>
        <w:t>、</w:t>
      </w:r>
      <w:r>
        <w:rPr>
          <w:rFonts w:hint="eastAsia" w:ascii="楷体_GB2312" w:hAnsi="楷体_GB2312" w:eastAsia="楷体_GB2312" w:cs="楷体_GB2312"/>
          <w:b/>
          <w:bCs/>
          <w:kern w:val="2"/>
          <w:sz w:val="32"/>
          <w:szCs w:val="32"/>
          <w:lang w:val="en-US" w:eastAsia="zh-CN" w:bidi="ar-SA"/>
        </w:rPr>
        <w:t>多举措多方式促消费回升。</w:t>
      </w:r>
      <w:r>
        <w:rPr>
          <w:rFonts w:hint="eastAsia" w:ascii="仿宋_GB2312" w:hAnsi="仿宋_GB2312" w:eastAsia="仿宋_GB2312" w:cs="仿宋_GB2312"/>
          <w:b w:val="0"/>
          <w:bCs w:val="0"/>
          <w:sz w:val="32"/>
          <w:szCs w:val="32"/>
          <w:lang w:val="en-US" w:eastAsia="zh-CN"/>
        </w:rPr>
        <w:t>探索利用省市消费券专项资金，联合商家紧抓“五一”“中秋”“国庆”等重要节日消费旺季节点，谋划消费券专场主体实施方案，针对城市商圈、家电下乡、新能源汽车等目标群体开展多种促销活动，同时举办多种市集经济，持续引流做大夜经济。</w:t>
      </w:r>
    </w:p>
    <w:p>
      <w:pPr>
        <w:keepNext w:val="0"/>
        <w:keepLines w:val="0"/>
        <w:pageBreakBefore w:val="0"/>
        <w:kinsoku/>
        <w:wordWrap/>
        <w:overflowPunct/>
        <w:topLinePunct w:val="0"/>
        <w:autoSpaceDE/>
        <w:autoSpaceDN/>
        <w:bidi w:val="0"/>
        <w:adjustRightInd/>
        <w:snapToGrid/>
        <w:spacing w:line="560" w:lineRule="exact"/>
        <w:ind w:left="0" w:firstLine="643" w:firstLineChars="200"/>
        <w:jc w:val="both"/>
        <w:rPr>
          <w:rFonts w:hint="eastAsia" w:ascii="仿宋" w:hAnsi="仿宋" w:eastAsia="仿宋" w:cs="仿宋"/>
          <w:sz w:val="32"/>
          <w:szCs w:val="32"/>
          <w:lang w:val="en-US" w:eastAsia="zh-CN"/>
        </w:rPr>
      </w:pPr>
      <w:r>
        <w:rPr>
          <w:rFonts w:hint="eastAsia" w:ascii="楷体_GB2312" w:hAnsi="楷体_GB2312" w:eastAsia="楷体_GB2312" w:cs="楷体_GB2312"/>
          <w:b/>
          <w:bCs/>
          <w:kern w:val="2"/>
          <w:sz w:val="32"/>
          <w:szCs w:val="32"/>
          <w:lang w:val="en-US" w:eastAsia="zh-CN" w:bidi="ar-SA"/>
        </w:rPr>
        <w:t>三</w:t>
      </w:r>
      <w:r>
        <w:rPr>
          <w:rFonts w:hint="default" w:ascii="楷体_GB2312" w:hAnsi="楷体_GB2312" w:eastAsia="楷体_GB2312" w:cs="楷体_GB2312"/>
          <w:b/>
          <w:bCs/>
          <w:kern w:val="2"/>
          <w:sz w:val="32"/>
          <w:szCs w:val="32"/>
          <w:lang w:val="en-US" w:eastAsia="zh-CN" w:bidi="ar-SA"/>
        </w:rPr>
        <w:t>、</w:t>
      </w:r>
      <w:r>
        <w:rPr>
          <w:rFonts w:hint="eastAsia" w:ascii="楷体_GB2312" w:hAnsi="楷体_GB2312" w:eastAsia="楷体_GB2312" w:cs="楷体_GB2312"/>
          <w:b/>
          <w:bCs/>
          <w:kern w:val="2"/>
          <w:sz w:val="32"/>
          <w:szCs w:val="32"/>
          <w:lang w:val="en-US" w:eastAsia="zh-CN" w:bidi="ar-SA"/>
        </w:rPr>
        <w:t>结合区情“以商招商”。</w:t>
      </w:r>
      <w:r>
        <w:rPr>
          <w:rFonts w:hint="eastAsia" w:ascii="仿宋_GB2312" w:hAnsi="仿宋_GB2312" w:eastAsia="仿宋_GB2312" w:cs="仿宋_GB2312"/>
          <w:color w:val="auto"/>
          <w:sz w:val="32"/>
          <w:szCs w:val="32"/>
          <w:lang w:val="en-US" w:eastAsia="zh-CN"/>
        </w:rPr>
        <w:t>围绕省市有关要求，结合我区产业现状、发展实际、现有资源等多方条件，在疫情可控的情况下计划通过“以商招商”的模式，</w:t>
      </w:r>
      <w:r>
        <w:rPr>
          <w:rFonts w:ascii="仿宋" w:hAnsi="仿宋" w:eastAsia="仿宋" w:cs="仿宋_GB2312"/>
          <w:kern w:val="0"/>
          <w:sz w:val="32"/>
          <w:szCs w:val="32"/>
        </w:rPr>
        <w:t>重点围绕数字经济、金融、消费、文化旅游四</w:t>
      </w:r>
      <w:r>
        <w:rPr>
          <w:rFonts w:hint="eastAsia" w:ascii="仿宋" w:hAnsi="仿宋" w:eastAsia="仿宋" w:cs="仿宋_GB2312"/>
          <w:kern w:val="0"/>
          <w:sz w:val="32"/>
          <w:szCs w:val="32"/>
        </w:rPr>
        <w:t>条</w:t>
      </w:r>
      <w:r>
        <w:rPr>
          <w:rFonts w:ascii="仿宋" w:hAnsi="仿宋" w:eastAsia="仿宋" w:cs="仿宋_GB2312"/>
          <w:kern w:val="0"/>
          <w:sz w:val="32"/>
          <w:szCs w:val="32"/>
        </w:rPr>
        <w:t>主线，</w:t>
      </w:r>
      <w:r>
        <w:rPr>
          <w:rFonts w:ascii="仿宋" w:hAnsi="仿宋" w:eastAsia="仿宋" w:cs="仿宋_GB2312"/>
          <w:kern w:val="0"/>
          <w:sz w:val="32"/>
          <w:szCs w:val="32"/>
          <w:lang w:val="en-US"/>
        </w:rPr>
        <w:t>利用中关村、森大投资、古川联行等第三方招商合作机构，</w:t>
      </w:r>
      <w:r>
        <w:rPr>
          <w:rFonts w:hint="eastAsia" w:ascii="仿宋_GB2312" w:hAnsi="仿宋_GB2312" w:eastAsia="仿宋_GB2312" w:cs="仿宋_GB2312"/>
          <w:b/>
          <w:bCs/>
          <w:color w:val="auto"/>
          <w:sz w:val="32"/>
          <w:szCs w:val="32"/>
          <w:lang w:val="en-US" w:eastAsia="zh-CN"/>
        </w:rPr>
        <w:t>持续发力前往北京、广州、杭州、上海、深圳</w:t>
      </w:r>
      <w:r>
        <w:rPr>
          <w:rFonts w:hint="default" w:ascii="仿宋_GB2312" w:hAnsi="仿宋_GB2312" w:eastAsia="仿宋_GB2312" w:cs="仿宋_GB2312"/>
          <w:b/>
          <w:bCs/>
          <w:color w:val="auto"/>
          <w:sz w:val="32"/>
          <w:szCs w:val="32"/>
          <w:lang w:val="en-US" w:eastAsia="zh-CN"/>
        </w:rPr>
        <w:t>、长沙、厦门、西安等地</w:t>
      </w:r>
      <w:r>
        <w:rPr>
          <w:rFonts w:hint="eastAsia" w:ascii="仿宋_GB2312" w:hAnsi="仿宋_GB2312" w:eastAsia="仿宋_GB2312" w:cs="仿宋_GB2312"/>
          <w:b/>
          <w:bCs/>
          <w:color w:val="auto"/>
          <w:sz w:val="32"/>
          <w:szCs w:val="32"/>
          <w:lang w:val="en-US" w:eastAsia="zh-CN"/>
        </w:rPr>
        <w:t>开展</w:t>
      </w:r>
      <w:r>
        <w:rPr>
          <w:rFonts w:hint="default" w:ascii="仿宋_GB2312" w:hAnsi="仿宋_GB2312" w:eastAsia="仿宋_GB2312" w:cs="仿宋_GB2312"/>
          <w:b/>
          <w:bCs/>
          <w:color w:val="auto"/>
          <w:sz w:val="32"/>
          <w:szCs w:val="32"/>
          <w:lang w:val="en-US" w:eastAsia="zh-CN"/>
        </w:rPr>
        <w:t xml:space="preserve"> 8</w:t>
      </w:r>
      <w:r>
        <w:rPr>
          <w:rFonts w:hint="eastAsia" w:ascii="仿宋_GB2312" w:hAnsi="仿宋_GB2312" w:eastAsia="仿宋_GB2312" w:cs="仿宋_GB2312"/>
          <w:b/>
          <w:bCs/>
          <w:color w:val="auto"/>
          <w:sz w:val="32"/>
          <w:szCs w:val="32"/>
          <w:lang w:val="en-US" w:eastAsia="zh-CN"/>
        </w:rPr>
        <w:t>场专题招商活动，</w:t>
      </w:r>
      <w:r>
        <w:rPr>
          <w:rFonts w:hint="eastAsia" w:ascii="仿宋_GB2312" w:hAnsi="仿宋_GB2312" w:eastAsia="仿宋_GB2312" w:cs="仿宋_GB2312"/>
          <w:color w:val="auto"/>
          <w:sz w:val="32"/>
          <w:szCs w:val="32"/>
          <w:lang w:val="en-US" w:eastAsia="zh-CN"/>
        </w:rPr>
        <w:t>努力引进一批投资大、税收高、效益好的项目。</w:t>
      </w:r>
    </w:p>
    <w:p>
      <w:pPr>
        <w:pStyle w:val="3"/>
        <w:keepNext w:val="0"/>
        <w:keepLines w:val="0"/>
        <w:pageBreakBefore w:val="0"/>
        <w:kinsoku/>
        <w:wordWrap/>
        <w:overflowPunct/>
        <w:topLinePunct w:val="0"/>
        <w:autoSpaceDE/>
        <w:autoSpaceDN/>
        <w:bidi w:val="0"/>
        <w:adjustRightInd/>
        <w:snapToGrid/>
        <w:spacing w:line="560" w:lineRule="exact"/>
        <w:ind w:left="0" w:firstLine="643" w:firstLineChars="200"/>
        <w:jc w:val="both"/>
        <w:rPr>
          <w:rFonts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四</w:t>
      </w:r>
      <w:r>
        <w:rPr>
          <w:rFonts w:hint="default" w:ascii="楷体_GB2312" w:hAnsi="楷体_GB2312" w:eastAsia="楷体_GB2312" w:cs="楷体_GB2312"/>
          <w:b/>
          <w:bCs/>
          <w:kern w:val="2"/>
          <w:sz w:val="32"/>
          <w:szCs w:val="32"/>
          <w:lang w:val="en-US" w:eastAsia="zh-CN" w:bidi="ar-SA"/>
        </w:rPr>
        <w:t>、</w:t>
      </w:r>
      <w:r>
        <w:rPr>
          <w:rFonts w:hint="eastAsia" w:ascii="楷体_GB2312" w:hAnsi="楷体_GB2312" w:eastAsia="楷体_GB2312" w:cs="楷体_GB2312"/>
          <w:b/>
          <w:bCs/>
          <w:kern w:val="2"/>
          <w:sz w:val="32"/>
          <w:szCs w:val="32"/>
          <w:lang w:val="en-US" w:eastAsia="zh-CN" w:bidi="ar-SA"/>
        </w:rPr>
        <w:t>抓好楼宇产业规划，重点开展载体招商。</w:t>
      </w:r>
      <w:r>
        <w:rPr>
          <w:rFonts w:hint="eastAsia" w:ascii="仿宋_GB2312" w:hAnsi="仿宋_GB2312" w:eastAsia="仿宋_GB2312" w:cs="仿宋_GB2312"/>
          <w:sz w:val="32"/>
          <w:szCs w:val="32"/>
        </w:rPr>
        <w:t>积极与市资规、住建等部门对接，梳理我区闲置土地及闲置楼宇现状，加快推进</w:t>
      </w:r>
      <w:r>
        <w:rPr>
          <w:rFonts w:hint="eastAsia" w:ascii="仿宋_GB2312" w:hAnsi="仿宋_GB2312" w:eastAsia="仿宋_GB2312" w:cs="仿宋_GB2312"/>
          <w:kern w:val="2"/>
          <w:sz w:val="32"/>
          <w:szCs w:val="32"/>
        </w:rPr>
        <w:t>闲置土地盘活利用，补齐固投后续潜力不足短板。充分发掘楼宇存量空间，大力发展“楼宇经济”作为服务业供给侧结构性改革的突</w:t>
      </w:r>
      <w:r>
        <w:rPr>
          <w:rFonts w:hint="eastAsia" w:ascii="仿宋_GB2312" w:hAnsi="仿宋_GB2312" w:eastAsia="仿宋_GB2312" w:cs="仿宋_GB2312"/>
          <w:sz w:val="32"/>
          <w:szCs w:val="32"/>
        </w:rPr>
        <w:t>破口,</w:t>
      </w:r>
      <w:r>
        <w:rPr>
          <w:rFonts w:hint="eastAsia" w:ascii="仿宋_GB2312" w:hAnsi="仿宋_GB2312" w:eastAsia="仿宋_GB2312" w:cs="仿宋_GB2312"/>
          <w:b/>
          <w:bCs/>
          <w:sz w:val="32"/>
          <w:szCs w:val="32"/>
          <w:lang w:val="en-US" w:eastAsia="zh-CN"/>
        </w:rPr>
        <w:t>联合海南锦城产城运营中心举办楼宇论坛，</w:t>
      </w:r>
      <w:r>
        <w:rPr>
          <w:rFonts w:hint="eastAsia" w:ascii="仿宋_GB2312" w:hAnsi="仿宋_GB2312" w:eastAsia="仿宋_GB2312" w:cs="仿宋_GB2312"/>
          <w:sz w:val="32"/>
          <w:szCs w:val="32"/>
        </w:rPr>
        <w:t>建立楼宇经济数据库，开展楼宇招商，以“一楼一产业、一楼一经济”思路将国贸打造成总部经济和商务服务业核心集聚区。</w:t>
      </w:r>
    </w:p>
    <w:p>
      <w:pPr>
        <w:pStyle w:val="3"/>
        <w:keepNext w:val="0"/>
        <w:keepLines w:val="0"/>
        <w:pageBreakBefore w:val="0"/>
        <w:kinsoku/>
        <w:wordWrap/>
        <w:overflowPunct/>
        <w:topLinePunct w:val="0"/>
        <w:autoSpaceDE/>
        <w:autoSpaceDN/>
        <w:bidi w:val="0"/>
        <w:adjustRightInd/>
        <w:snapToGrid/>
        <w:spacing w:line="560" w:lineRule="exact"/>
        <w:ind w:left="0" w:firstLine="643"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五</w:t>
      </w:r>
      <w:r>
        <w:rPr>
          <w:rFonts w:hint="default" w:ascii="楷体_GB2312" w:hAnsi="楷体_GB2312" w:eastAsia="楷体_GB2312" w:cs="楷体_GB2312"/>
          <w:b/>
          <w:bCs/>
          <w:kern w:val="2"/>
          <w:sz w:val="32"/>
          <w:szCs w:val="32"/>
          <w:lang w:val="en-US" w:eastAsia="zh-CN" w:bidi="ar-SA"/>
        </w:rPr>
        <w:t>、</w:t>
      </w:r>
      <w:r>
        <w:rPr>
          <w:rFonts w:hint="eastAsia" w:ascii="楷体_GB2312" w:hAnsi="楷体_GB2312" w:eastAsia="楷体_GB2312" w:cs="楷体_GB2312"/>
          <w:b/>
          <w:bCs/>
          <w:kern w:val="2"/>
          <w:sz w:val="32"/>
          <w:szCs w:val="32"/>
          <w:lang w:val="en-US" w:eastAsia="zh-CN" w:bidi="ar-SA"/>
        </w:rPr>
        <w:t>整合资源，优化招商体制机制。</w:t>
      </w:r>
      <w:r>
        <w:rPr>
          <w:rFonts w:hint="eastAsia" w:ascii="仿宋_GB2312" w:hAnsi="仿宋_GB2312" w:eastAsia="仿宋_GB2312" w:cs="仿宋_GB2312"/>
          <w:sz w:val="32"/>
          <w:szCs w:val="32"/>
        </w:rPr>
        <w:t>学习先进经验，计划从</w:t>
      </w:r>
      <w:r>
        <w:rPr>
          <w:rFonts w:hint="eastAsia" w:ascii="仿宋_GB2312" w:hAnsi="仿宋_GB2312" w:eastAsia="仿宋_GB2312" w:cs="仿宋_GB2312"/>
          <w:b/>
          <w:bCs/>
          <w:sz w:val="32"/>
          <w:szCs w:val="32"/>
          <w:lang w:eastAsia="zh-CN"/>
        </w:rPr>
        <w:t>“探索组建</w:t>
      </w:r>
      <w:r>
        <w:rPr>
          <w:rFonts w:hint="eastAsia" w:ascii="仿宋_GB2312" w:hAnsi="仿宋_GB2312" w:eastAsia="仿宋_GB2312" w:cs="仿宋_GB2312"/>
          <w:b/>
          <w:bCs/>
          <w:sz w:val="32"/>
          <w:szCs w:val="32"/>
          <w:lang w:val="en-US" w:eastAsia="zh-CN"/>
        </w:rPr>
        <w:t>区级专业</w:t>
      </w:r>
      <w:r>
        <w:rPr>
          <w:rFonts w:hint="eastAsia" w:ascii="仿宋_GB2312" w:hAnsi="仿宋_GB2312" w:eastAsia="仿宋_GB2312" w:cs="仿宋_GB2312"/>
          <w:b/>
          <w:bCs/>
          <w:sz w:val="32"/>
          <w:szCs w:val="32"/>
          <w:lang w:eastAsia="zh-CN"/>
        </w:rPr>
        <w:t>招商平台公司、</w:t>
      </w:r>
      <w:r>
        <w:rPr>
          <w:rFonts w:hint="eastAsia" w:ascii="仿宋_GB2312" w:hAnsi="仿宋_GB2312" w:eastAsia="仿宋_GB2312" w:cs="仿宋_GB2312"/>
          <w:b/>
          <w:bCs/>
          <w:sz w:val="32"/>
          <w:szCs w:val="32"/>
          <w:lang w:val="en-US" w:eastAsia="zh-CN"/>
        </w:rPr>
        <w:t>对区招商服务中心进行增编和增加工作经费购买服务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等</w:t>
      </w:r>
      <w:r>
        <w:rPr>
          <w:rFonts w:hint="eastAsia" w:ascii="仿宋_GB2312" w:hAnsi="仿宋_GB2312" w:eastAsia="仿宋_GB2312" w:cs="仿宋_GB2312"/>
          <w:b/>
          <w:bCs/>
          <w:sz w:val="32"/>
          <w:szCs w:val="32"/>
          <w:lang w:val="en-US" w:eastAsia="zh-CN"/>
        </w:rPr>
        <w:t>两</w:t>
      </w:r>
      <w:r>
        <w:rPr>
          <w:rFonts w:hint="eastAsia" w:ascii="仿宋_GB2312" w:hAnsi="仿宋_GB2312" w:eastAsia="仿宋_GB2312" w:cs="仿宋_GB2312"/>
          <w:b/>
          <w:bCs/>
          <w:sz w:val="32"/>
          <w:szCs w:val="32"/>
        </w:rPr>
        <w:t>个方向</w:t>
      </w:r>
      <w:r>
        <w:rPr>
          <w:rFonts w:hint="eastAsia" w:ascii="仿宋_GB2312" w:hAnsi="仿宋_GB2312" w:eastAsia="仿宋_GB2312" w:cs="仿宋_GB2312"/>
          <w:sz w:val="32"/>
          <w:szCs w:val="32"/>
        </w:rPr>
        <w:t>“做大做强”我区招商引资工作，着力解决现有的招商中心人员力量薄弱、招商人才知识不专和区级招商机制和体制已越来越不能适应大招商的发展新形势等问题。</w:t>
      </w:r>
    </w:p>
    <w:p>
      <w:pPr>
        <w:pStyle w:val="3"/>
        <w:keepNext w:val="0"/>
        <w:keepLines w:val="0"/>
        <w:pageBreakBefore w:val="0"/>
        <w:kinsoku/>
        <w:wordWrap/>
        <w:overflowPunct/>
        <w:topLinePunct w:val="0"/>
        <w:autoSpaceDE/>
        <w:autoSpaceDN/>
        <w:bidi w:val="0"/>
        <w:adjustRightInd/>
        <w:snapToGrid/>
        <w:spacing w:line="560" w:lineRule="exact"/>
        <w:ind w:left="0" w:firstLine="643"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六</w:t>
      </w:r>
      <w:r>
        <w:rPr>
          <w:rFonts w:hint="default" w:ascii="楷体_GB2312" w:hAnsi="楷体_GB2312" w:eastAsia="楷体_GB2312" w:cs="楷体_GB2312"/>
          <w:b/>
          <w:bCs/>
          <w:kern w:val="2"/>
          <w:sz w:val="32"/>
          <w:szCs w:val="32"/>
          <w:lang w:val="en-US" w:eastAsia="zh-CN" w:bidi="ar-SA"/>
        </w:rPr>
        <w:t>、</w:t>
      </w:r>
      <w:r>
        <w:rPr>
          <w:rFonts w:hint="eastAsia" w:ascii="楷体_GB2312" w:hAnsi="楷体_GB2312" w:eastAsia="楷体_GB2312" w:cs="楷体_GB2312"/>
          <w:b/>
          <w:bCs/>
          <w:kern w:val="2"/>
          <w:sz w:val="32"/>
          <w:szCs w:val="32"/>
          <w:lang w:val="en-US" w:eastAsia="zh-CN" w:bidi="ar-SA"/>
        </w:rPr>
        <w:t>是强化精准招商，确保项目落地。</w:t>
      </w:r>
      <w:r>
        <w:rPr>
          <w:rFonts w:hint="eastAsia" w:ascii="仿宋_GB2312" w:hAnsi="仿宋_GB2312" w:eastAsia="仿宋_GB2312" w:cs="仿宋_GB2312"/>
          <w:sz w:val="32"/>
          <w:szCs w:val="32"/>
        </w:rPr>
        <w:t>继续发挥我区复兴城、数字经济产业园、滨海电子商务产业园等园区招商体制机制优势，在智能物联、数字贸易、金融科技、离岸贸易、电子商务等主导产业领域，补链强链，瞄准世界500强、中国500强、民营企业500强，行业龙头 “独角兽”企业等，高质量策划包装项目，各专班主动上门精准招商。</w:t>
      </w:r>
    </w:p>
    <w:p>
      <w:pPr>
        <w:keepNext w:val="0"/>
        <w:keepLines w:val="0"/>
        <w:pageBreakBefore w:val="0"/>
        <w:kinsoku/>
        <w:wordWrap/>
        <w:overflowPunct/>
        <w:topLinePunct w:val="0"/>
        <w:autoSpaceDE/>
        <w:autoSpaceDN/>
        <w:bidi w:val="0"/>
        <w:adjustRightInd/>
        <w:snapToGrid/>
        <w:spacing w:line="560" w:lineRule="exact"/>
        <w:ind w:left="0" w:firstLine="643"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kern w:val="2"/>
          <w:sz w:val="32"/>
          <w:szCs w:val="32"/>
          <w:lang w:val="en-US" w:eastAsia="zh-CN" w:bidi="ar-SA"/>
        </w:rPr>
        <w:t>七</w:t>
      </w:r>
      <w:r>
        <w:rPr>
          <w:rFonts w:hint="default" w:ascii="楷体_GB2312" w:hAnsi="楷体_GB2312" w:eastAsia="楷体_GB2312" w:cs="楷体_GB2312"/>
          <w:b/>
          <w:bCs/>
          <w:kern w:val="2"/>
          <w:sz w:val="32"/>
          <w:szCs w:val="32"/>
          <w:lang w:val="en-US" w:eastAsia="zh-CN" w:bidi="ar-SA"/>
        </w:rPr>
        <w:t>、持续做好疫情防控和保供稳价工作。继</w:t>
      </w:r>
      <w:r>
        <w:rPr>
          <w:rFonts w:hint="eastAsia" w:ascii="楷体_GB2312" w:hAnsi="楷体_GB2312" w:eastAsia="楷体_GB2312" w:cs="楷体_GB2312"/>
          <w:b/>
          <w:bCs/>
          <w:kern w:val="2"/>
          <w:sz w:val="32"/>
          <w:szCs w:val="32"/>
          <w:lang w:val="en-US" w:eastAsia="zh-CN" w:bidi="ar-SA"/>
        </w:rPr>
        <w:t>续</w:t>
      </w:r>
      <w:r>
        <w:rPr>
          <w:rFonts w:hint="default" w:ascii="楷体_GB2312" w:hAnsi="楷体_GB2312" w:eastAsia="楷体_GB2312" w:cs="楷体_GB2312"/>
          <w:b/>
          <w:bCs/>
          <w:kern w:val="2"/>
          <w:sz w:val="32"/>
          <w:szCs w:val="32"/>
          <w:lang w:val="en-US" w:eastAsia="zh-CN" w:bidi="ar-SA"/>
        </w:rPr>
        <w:t>谋划</w:t>
      </w:r>
      <w:r>
        <w:rPr>
          <w:rFonts w:hint="eastAsia" w:ascii="楷体_GB2312" w:hAnsi="楷体_GB2312" w:eastAsia="楷体_GB2312" w:cs="楷体_GB2312"/>
          <w:b/>
          <w:bCs/>
          <w:kern w:val="2"/>
          <w:sz w:val="32"/>
          <w:szCs w:val="32"/>
          <w:lang w:val="en-US" w:eastAsia="zh-CN" w:bidi="ar-SA"/>
        </w:rPr>
        <w:t>新</w:t>
      </w:r>
      <w:r>
        <w:rPr>
          <w:rFonts w:hint="default" w:ascii="楷体_GB2312" w:hAnsi="楷体_GB2312" w:eastAsia="楷体_GB2312" w:cs="楷体_GB2312"/>
          <w:b/>
          <w:bCs/>
          <w:kern w:val="2"/>
          <w:sz w:val="32"/>
          <w:szCs w:val="32"/>
          <w:lang w:val="en-US" w:eastAsia="zh-CN" w:bidi="ar-SA"/>
        </w:rPr>
        <w:t>建</w:t>
      </w:r>
      <w:r>
        <w:rPr>
          <w:rFonts w:hint="eastAsia" w:ascii="楷体_GB2312" w:hAnsi="楷体_GB2312" w:eastAsia="楷体_GB2312" w:cs="楷体_GB2312"/>
          <w:b/>
          <w:bCs/>
          <w:kern w:val="2"/>
          <w:sz w:val="32"/>
          <w:szCs w:val="32"/>
          <w:lang w:val="en-US" w:eastAsia="zh-CN" w:bidi="ar-SA"/>
        </w:rPr>
        <w:t>1家公益性农贸市场任务。</w:t>
      </w:r>
      <w:r>
        <w:rPr>
          <w:rFonts w:hint="eastAsia" w:ascii="仿宋_GB2312" w:hAnsi="仿宋_GB2312" w:eastAsia="仿宋_GB2312" w:cs="仿宋_GB2312"/>
          <w:sz w:val="32"/>
          <w:szCs w:val="32"/>
          <w:lang w:val="en-US" w:eastAsia="zh-CN"/>
        </w:rPr>
        <w:t>继续</w:t>
      </w:r>
      <w:r>
        <w:rPr>
          <w:rFonts w:hint="default" w:ascii="仿宋_GB2312" w:hAnsi="仿宋_GB2312" w:eastAsia="仿宋_GB2312" w:cs="仿宋_GB2312"/>
          <w:sz w:val="32"/>
          <w:szCs w:val="32"/>
          <w:lang w:val="en-US" w:eastAsia="zh-CN"/>
        </w:rPr>
        <w:t>在全区范围内，</w:t>
      </w:r>
      <w:r>
        <w:rPr>
          <w:rFonts w:hint="eastAsia" w:ascii="仿宋_GB2312" w:hAnsi="仿宋_GB2312" w:eastAsia="仿宋_GB2312" w:cs="仿宋_GB2312"/>
          <w:sz w:val="32"/>
          <w:szCs w:val="32"/>
          <w:lang w:val="en-US" w:eastAsia="zh-CN"/>
        </w:rPr>
        <w:t>挖掘可</w:t>
      </w:r>
      <w:r>
        <w:rPr>
          <w:rFonts w:hint="default" w:ascii="仿宋_GB2312" w:hAnsi="仿宋_GB2312" w:eastAsia="仿宋_GB2312" w:cs="仿宋_GB2312"/>
          <w:sz w:val="32"/>
          <w:szCs w:val="32"/>
          <w:lang w:val="en-US" w:eastAsia="zh-CN"/>
        </w:rPr>
        <w:t>利用</w:t>
      </w:r>
      <w:r>
        <w:rPr>
          <w:rFonts w:hint="eastAsia" w:ascii="仿宋_GB2312" w:hAnsi="仿宋_GB2312" w:eastAsia="仿宋_GB2312" w:cs="仿宋_GB2312"/>
          <w:sz w:val="32"/>
          <w:szCs w:val="32"/>
          <w:lang w:val="en-US" w:eastAsia="zh-CN"/>
        </w:rPr>
        <w:t>建设</w:t>
      </w:r>
      <w:r>
        <w:rPr>
          <w:rFonts w:hint="default" w:ascii="仿宋_GB2312" w:hAnsi="仿宋_GB2312" w:eastAsia="仿宋_GB2312" w:cs="仿宋_GB2312"/>
          <w:sz w:val="32"/>
          <w:szCs w:val="32"/>
          <w:lang w:val="en-US" w:eastAsia="zh-CN"/>
        </w:rPr>
        <w:t>的地块，利用区级资金，与村集体和区属国企合作，争取在主城区建设一个政府完全控股的公益市场，增强保供稳价调控手段</w:t>
      </w:r>
      <w:r>
        <w:rPr>
          <w:rFonts w:hint="eastAsia" w:ascii="仿宋_GB2312" w:hAnsi="仿宋_GB2312" w:eastAsia="仿宋_GB2312" w:cs="仿宋_GB2312"/>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jc w:val="both"/>
        <w:rPr>
          <w:rFonts w:hint="eastAsia" w:ascii="黑体" w:hAnsi="黑体" w:eastAsia="黑体" w:cs="黑体"/>
          <w:b w:val="0"/>
          <w:bCs w:val="0"/>
          <w:sz w:val="32"/>
          <w:szCs w:val="32"/>
          <w:lang w:val="en-US" w:eastAsia="zh-CN"/>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rPr>
                              <w:rFonts w:hint="eastAsia" w:ascii="宋体" w:hAnsi="宋体" w:eastAsia="宋体" w:cs="宋体"/>
                              <w:sz w:val="24"/>
                              <w:szCs w:val="40"/>
                            </w:rPr>
                          </w:pPr>
                          <w:r>
                            <w:rPr>
                              <w:rFonts w:hint="eastAsia" w:ascii="宋体" w:hAnsi="宋体" w:eastAsia="宋体" w:cs="宋体"/>
                              <w:sz w:val="24"/>
                              <w:szCs w:val="40"/>
                            </w:rPr>
                            <w:t xml:space="preserve">第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1</w:t>
                          </w:r>
                          <w:r>
                            <w:rPr>
                              <w:rFonts w:hint="eastAsia" w:ascii="宋体" w:hAnsi="宋体" w:eastAsia="宋体" w:cs="宋体"/>
                              <w:sz w:val="24"/>
                              <w:szCs w:val="40"/>
                            </w:rPr>
                            <w:fldChar w:fldCharType="end"/>
                          </w:r>
                          <w:r>
                            <w:rPr>
                              <w:rFonts w:hint="eastAsia" w:ascii="宋体" w:hAnsi="宋体" w:eastAsia="宋体" w:cs="宋体"/>
                              <w:sz w:val="24"/>
                              <w:szCs w:val="40"/>
                            </w:rPr>
                            <w:t xml:space="preserve"> 页 共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NUMPAGES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5</w:t>
                          </w:r>
                          <w:r>
                            <w:rPr>
                              <w:rFonts w:hint="eastAsia" w:ascii="宋体" w:hAnsi="宋体" w:eastAsia="宋体" w:cs="宋体"/>
                              <w:sz w:val="24"/>
                              <w:szCs w:val="40"/>
                            </w:rPr>
                            <w:fldChar w:fldCharType="end"/>
                          </w:r>
                          <w:r>
                            <w:rPr>
                              <w:rFonts w:hint="eastAsia" w:ascii="宋体" w:hAnsi="宋体" w:eastAsia="宋体" w:cs="宋体"/>
                              <w:sz w:val="24"/>
                              <w:szCs w:val="40"/>
                            </w:rPr>
                            <w:t xml:space="preserve"> 页</w:t>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6"/>
                      <w:rPr>
                        <w:rFonts w:hint="eastAsia" w:ascii="宋体" w:hAnsi="宋体" w:eastAsia="宋体" w:cs="宋体"/>
                        <w:sz w:val="24"/>
                        <w:szCs w:val="40"/>
                      </w:rPr>
                    </w:pPr>
                    <w:r>
                      <w:rPr>
                        <w:rFonts w:hint="eastAsia" w:ascii="宋体" w:hAnsi="宋体" w:eastAsia="宋体" w:cs="宋体"/>
                        <w:sz w:val="24"/>
                        <w:szCs w:val="40"/>
                      </w:rPr>
                      <w:t xml:space="preserve">第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1</w:t>
                    </w:r>
                    <w:r>
                      <w:rPr>
                        <w:rFonts w:hint="eastAsia" w:ascii="宋体" w:hAnsi="宋体" w:eastAsia="宋体" w:cs="宋体"/>
                        <w:sz w:val="24"/>
                        <w:szCs w:val="40"/>
                      </w:rPr>
                      <w:fldChar w:fldCharType="end"/>
                    </w:r>
                    <w:r>
                      <w:rPr>
                        <w:rFonts w:hint="eastAsia" w:ascii="宋体" w:hAnsi="宋体" w:eastAsia="宋体" w:cs="宋体"/>
                        <w:sz w:val="24"/>
                        <w:szCs w:val="40"/>
                      </w:rPr>
                      <w:t xml:space="preserve"> 页 共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NUMPAGES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5</w:t>
                    </w:r>
                    <w:r>
                      <w:rPr>
                        <w:rFonts w:hint="eastAsia" w:ascii="宋体" w:hAnsi="宋体" w:eastAsia="宋体" w:cs="宋体"/>
                        <w:sz w:val="24"/>
                        <w:szCs w:val="40"/>
                      </w:rPr>
                      <w:fldChar w:fldCharType="end"/>
                    </w:r>
                    <w:r>
                      <w:rPr>
                        <w:rFonts w:hint="eastAsia" w:ascii="宋体" w:hAnsi="宋体" w:eastAsia="宋体" w:cs="宋体"/>
                        <w:sz w:val="24"/>
                        <w:szCs w:val="40"/>
                      </w:rPr>
                      <w:t xml:space="preserve"> 页</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kNTFjMjE5NTAyNDJhZTI3YWZkNGVkMWQ2ZGZjZTYifQ=="/>
  </w:docVars>
  <w:rsids>
    <w:rsidRoot w:val="00000000"/>
    <w:rsid w:val="783C7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widowControl/>
      <w:ind w:firstLine="0" w:firstLineChars="0"/>
      <w:jc w:val="center"/>
      <w:outlineLvl w:val="0"/>
    </w:pPr>
    <w:rPr>
      <w:rFonts w:ascii="Calibri" w:hAnsi="Calibri" w:eastAsia="方正小标宋简体" w:cs="宋体"/>
      <w:kern w:val="44"/>
      <w:sz w:val="48"/>
      <w:szCs w:val="22"/>
    </w:rPr>
  </w:style>
  <w:style w:type="character" w:default="1" w:styleId="9">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rPr>
      <w:szCs w:val="22"/>
    </w:rPr>
  </w:style>
  <w:style w:type="paragraph" w:styleId="4">
    <w:name w:val="Normal Indent"/>
    <w:basedOn w:val="1"/>
    <w:next w:val="1"/>
    <w:qFormat/>
    <w:uiPriority w:val="0"/>
    <w:pPr>
      <w:ind w:firstLine="420"/>
    </w:pPr>
  </w:style>
  <w:style w:type="paragraph" w:styleId="5">
    <w:name w:val="Body Text"/>
    <w:basedOn w:val="1"/>
    <w:qFormat/>
    <w:uiPriority w:val="0"/>
    <w:pPr>
      <w:spacing w:after="120" w:afterAutospacing="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10">
    <w:name w:val="UserStyle_0"/>
    <w:qFormat/>
    <w:uiPriority w:val="99"/>
    <w:pPr>
      <w:ind w:firstLine="420"/>
      <w:textAlignment w:val="baseline"/>
    </w:pPr>
    <w:rPr>
      <w:rFonts w:ascii="仿宋_GB2312" w:hAnsi="仿宋_GB2312" w:eastAsia="仿宋_GB2312" w:cs="Times New Roman"/>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1071</Words>
  <Characters>1087</Characters>
  <Paragraphs>16</Paragraphs>
  <TotalTime>24</TotalTime>
  <ScaleCrop>false</ScaleCrop>
  <LinksUpToDate>false</LinksUpToDate>
  <CharactersWithSpaces>1089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雷霆世纪</dc:creator>
  <cp:lastModifiedBy>周小猴子</cp:lastModifiedBy>
  <dcterms:modified xsi:type="dcterms:W3CDTF">2022-12-10T03:44:26Z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A4F9E774FE2344F0AA99BF59A4D244D2</vt:lpwstr>
  </property>
</Properties>
</file>