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AAB3" w14:textId="77777777" w:rsidR="00AE7951" w:rsidRPr="00F60D2B" w:rsidRDefault="00F0338C" w:rsidP="00AE7951">
      <w:pPr>
        <w:pStyle w:val="a3"/>
        <w:spacing w:before="0" w:after="0"/>
        <w:ind w:firstLineChars="0" w:firstLine="0"/>
        <w:rPr>
          <w:rFonts w:ascii="宋体" w:hAnsi="宋体" w:cs="Times New Roman"/>
          <w:kern w:val="0"/>
          <w:sz w:val="28"/>
          <w:szCs w:val="28"/>
          <w:lang w:val="zh-CN"/>
        </w:rPr>
      </w:pPr>
      <w:r w:rsidRPr="00F60D2B">
        <w:rPr>
          <w:rFonts w:ascii="宋体" w:hAnsi="宋体" w:cs="Times New Roman" w:hint="eastAsia"/>
          <w:kern w:val="0"/>
          <w:sz w:val="28"/>
          <w:szCs w:val="28"/>
          <w:lang w:val="zh-CN"/>
        </w:rPr>
        <w:t>《</w:t>
      </w:r>
      <w:r w:rsidR="00B1711C" w:rsidRPr="00F60D2B">
        <w:rPr>
          <w:rFonts w:ascii="宋体" w:hAnsi="宋体" w:cs="Times New Roman"/>
          <w:kern w:val="0"/>
          <w:sz w:val="28"/>
          <w:szCs w:val="28"/>
          <w:lang w:val="zh-CN"/>
        </w:rPr>
        <w:t>海口市龙华区遵谭镇</w:t>
      </w:r>
      <w:r w:rsidR="00B43367" w:rsidRPr="00F60D2B">
        <w:rPr>
          <w:rFonts w:ascii="宋体" w:hAnsi="宋体" w:cs="Times New Roman" w:hint="eastAsia"/>
          <w:kern w:val="0"/>
          <w:sz w:val="28"/>
          <w:szCs w:val="28"/>
          <w:lang w:val="zh-CN"/>
        </w:rPr>
        <w:t>龙合</w:t>
      </w:r>
      <w:r w:rsidR="00B73492" w:rsidRPr="00F60D2B">
        <w:rPr>
          <w:rFonts w:ascii="宋体" w:hAnsi="宋体" w:cs="Times New Roman"/>
          <w:kern w:val="0"/>
          <w:sz w:val="28"/>
          <w:szCs w:val="28"/>
          <w:lang w:val="zh-CN"/>
        </w:rPr>
        <w:t>村</w:t>
      </w:r>
      <w:r w:rsidR="00D173BF" w:rsidRPr="00F60D2B">
        <w:rPr>
          <w:rFonts w:ascii="宋体" w:hAnsi="宋体" w:cs="Times New Roman"/>
          <w:kern w:val="0"/>
          <w:sz w:val="28"/>
          <w:szCs w:val="28"/>
          <w:lang w:val="zh-CN"/>
        </w:rPr>
        <w:t>村庄</w:t>
      </w:r>
      <w:r w:rsidR="00D73E99" w:rsidRPr="00F60D2B">
        <w:rPr>
          <w:rFonts w:ascii="宋体" w:hAnsi="宋体" w:cs="Times New Roman"/>
          <w:kern w:val="0"/>
          <w:sz w:val="28"/>
          <w:szCs w:val="28"/>
          <w:lang w:val="zh-CN"/>
        </w:rPr>
        <w:t>规划</w:t>
      </w:r>
      <w:r w:rsidRPr="00F60D2B">
        <w:rPr>
          <w:rFonts w:ascii="宋体" w:hAnsi="宋体" w:cs="Times New Roman" w:hint="eastAsia"/>
          <w:kern w:val="0"/>
          <w:sz w:val="28"/>
          <w:szCs w:val="28"/>
          <w:lang w:val="zh-CN"/>
        </w:rPr>
        <w:t>（202</w:t>
      </w:r>
      <w:r w:rsidR="00B43367" w:rsidRPr="00F60D2B">
        <w:rPr>
          <w:rFonts w:ascii="宋体" w:hAnsi="宋体" w:cs="Times New Roman" w:hint="eastAsia"/>
          <w:kern w:val="0"/>
          <w:sz w:val="28"/>
          <w:szCs w:val="28"/>
          <w:lang w:val="zh-CN"/>
        </w:rPr>
        <w:t>1</w:t>
      </w:r>
      <w:r w:rsidRPr="00F60D2B">
        <w:rPr>
          <w:rFonts w:ascii="宋体" w:hAnsi="宋体" w:cs="Times New Roman" w:hint="eastAsia"/>
          <w:kern w:val="0"/>
          <w:sz w:val="28"/>
          <w:szCs w:val="28"/>
          <w:lang w:val="zh-CN"/>
        </w:rPr>
        <w:t>-2035）》简介</w:t>
      </w:r>
    </w:p>
    <w:p w14:paraId="797266C5" w14:textId="77777777" w:rsidR="003A1F50" w:rsidRDefault="003A1F50" w:rsidP="00681928">
      <w:pPr>
        <w:ind w:firstLine="480"/>
        <w:rPr>
          <w:rFonts w:ascii="Times New Roman" w:hAnsi="Times New Roman" w:cs="Times New Roman"/>
          <w:kern w:val="0"/>
          <w:lang w:val="zh-CN"/>
        </w:rPr>
      </w:pPr>
    </w:p>
    <w:p w14:paraId="34DD9A4A" w14:textId="77777777" w:rsidR="00681928" w:rsidRPr="00993B05" w:rsidRDefault="00681928" w:rsidP="00F60D2B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993B05">
        <w:rPr>
          <w:rFonts w:ascii="黑体" w:eastAsia="黑体" w:hAnsi="黑体" w:cs="Times New Roman"/>
          <w:b/>
          <w:bCs/>
          <w:kern w:val="0"/>
          <w:lang w:val="zh-CN"/>
        </w:rPr>
        <w:t>一、规划范围</w:t>
      </w:r>
    </w:p>
    <w:p w14:paraId="3474D323" w14:textId="77777777" w:rsidR="00681928" w:rsidRPr="00B952C0" w:rsidRDefault="00681928" w:rsidP="00201CFE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本次村庄规划范围为</w:t>
      </w:r>
      <w:r w:rsidR="003A1F50" w:rsidRPr="00B952C0">
        <w:rPr>
          <w:rFonts w:ascii="仿宋" w:eastAsia="仿宋" w:hAnsi="仿宋" w:cs="Times New Roman"/>
          <w:kern w:val="0"/>
          <w:lang w:val="zh-CN"/>
        </w:rPr>
        <w:t>遵谭镇</w:t>
      </w:r>
      <w:r w:rsidR="00B43367" w:rsidRPr="00B952C0">
        <w:rPr>
          <w:rFonts w:ascii="仿宋" w:eastAsia="仿宋" w:hAnsi="仿宋" w:cs="Times New Roman" w:hint="eastAsia"/>
        </w:rPr>
        <w:t>龙合</w:t>
      </w:r>
      <w:r w:rsidR="00B73492" w:rsidRPr="00B952C0">
        <w:rPr>
          <w:rFonts w:ascii="仿宋" w:eastAsia="仿宋" w:hAnsi="仿宋" w:cs="Times New Roman"/>
        </w:rPr>
        <w:t>村</w:t>
      </w:r>
      <w:r w:rsidRPr="00B952C0">
        <w:rPr>
          <w:rFonts w:ascii="仿宋" w:eastAsia="仿宋" w:hAnsi="仿宋" w:cs="Times New Roman"/>
        </w:rPr>
        <w:t>村域行政范围，含</w:t>
      </w:r>
      <w:r w:rsidR="00B43367" w:rsidRPr="00B952C0">
        <w:rPr>
          <w:rFonts w:ascii="仿宋" w:eastAsia="仿宋" w:hAnsi="仿宋" w:cs="Times New Roman" w:hint="eastAsia"/>
        </w:rPr>
        <w:t>3</w:t>
      </w:r>
      <w:r w:rsidRPr="00B952C0">
        <w:rPr>
          <w:rFonts w:ascii="仿宋" w:eastAsia="仿宋" w:hAnsi="仿宋" w:cs="Times New Roman"/>
        </w:rPr>
        <w:t>个村民小组，</w:t>
      </w:r>
      <w:r w:rsidR="00B43367" w:rsidRPr="00B952C0">
        <w:rPr>
          <w:rFonts w:ascii="仿宋" w:eastAsia="仿宋" w:hAnsi="仿宋" w:cs="Times New Roman" w:hint="eastAsia"/>
        </w:rPr>
        <w:t>含14个连队，</w:t>
      </w:r>
      <w:r w:rsidRPr="00B952C0">
        <w:rPr>
          <w:rFonts w:ascii="仿宋" w:eastAsia="仿宋" w:hAnsi="仿宋" w:cs="Times New Roman"/>
        </w:rPr>
        <w:t>分别为</w:t>
      </w:r>
      <w:r w:rsidR="00B43367" w:rsidRPr="00B952C0">
        <w:rPr>
          <w:rFonts w:ascii="仿宋" w:eastAsia="仿宋" w:hAnsi="仿宋" w:cs="Times New Roman" w:hint="eastAsia"/>
          <w:color w:val="000000" w:themeColor="text1"/>
        </w:rPr>
        <w:t>卜裔一</w:t>
      </w:r>
      <w:r w:rsidR="00B43367" w:rsidRPr="00B952C0">
        <w:rPr>
          <w:rFonts w:ascii="仿宋" w:eastAsia="仿宋" w:hAnsi="仿宋" w:cs="Times New Roman"/>
          <w:color w:val="000000" w:themeColor="text1"/>
        </w:rPr>
        <w:t>组</w:t>
      </w:r>
      <w:r w:rsidR="00B43367" w:rsidRPr="00B952C0">
        <w:rPr>
          <w:rFonts w:ascii="仿宋" w:eastAsia="仿宋" w:hAnsi="仿宋" w:cs="Times New Roman" w:hint="eastAsia"/>
          <w:color w:val="000000" w:themeColor="text1"/>
        </w:rPr>
        <w:t>、卜裔二</w:t>
      </w:r>
      <w:r w:rsidR="00B43367" w:rsidRPr="00B952C0">
        <w:rPr>
          <w:rFonts w:ascii="仿宋" w:eastAsia="仿宋" w:hAnsi="仿宋" w:cs="Times New Roman"/>
          <w:color w:val="000000" w:themeColor="text1"/>
        </w:rPr>
        <w:t>组</w:t>
      </w:r>
      <w:r w:rsidR="00B43367" w:rsidRPr="00B952C0">
        <w:rPr>
          <w:rFonts w:ascii="仿宋" w:eastAsia="仿宋" w:hAnsi="仿宋" w:cs="Times New Roman" w:hint="eastAsia"/>
          <w:color w:val="000000" w:themeColor="text1"/>
        </w:rPr>
        <w:t>、卜裔三</w:t>
      </w:r>
      <w:r w:rsidR="00B43367" w:rsidRPr="00B952C0">
        <w:rPr>
          <w:rFonts w:ascii="仿宋" w:eastAsia="仿宋" w:hAnsi="仿宋" w:cs="Times New Roman"/>
          <w:color w:val="000000" w:themeColor="text1"/>
        </w:rPr>
        <w:t>组</w:t>
      </w:r>
      <w:r w:rsidR="00B43367" w:rsidRPr="00B952C0">
        <w:rPr>
          <w:rFonts w:ascii="仿宋" w:eastAsia="仿宋" w:hAnsi="仿宋" w:cs="Times New Roman" w:hint="eastAsia"/>
          <w:color w:val="000000" w:themeColor="text1"/>
        </w:rPr>
        <w:t>、卜裔四</w:t>
      </w:r>
      <w:r w:rsidR="00B43367" w:rsidRPr="00B952C0">
        <w:rPr>
          <w:rFonts w:ascii="仿宋" w:eastAsia="仿宋" w:hAnsi="仿宋" w:cs="Times New Roman"/>
          <w:color w:val="000000" w:themeColor="text1"/>
        </w:rPr>
        <w:t>组</w:t>
      </w:r>
      <w:r w:rsidR="00B43367" w:rsidRPr="00B952C0">
        <w:rPr>
          <w:rFonts w:ascii="仿宋" w:eastAsia="仿宋" w:hAnsi="仿宋" w:cs="Times New Roman" w:hint="eastAsia"/>
          <w:color w:val="000000" w:themeColor="text1"/>
        </w:rPr>
        <w:t>、卜裔五</w:t>
      </w:r>
      <w:r w:rsidR="00B43367" w:rsidRPr="00B952C0">
        <w:rPr>
          <w:rFonts w:ascii="仿宋" w:eastAsia="仿宋" w:hAnsi="仿宋" w:cs="Times New Roman"/>
          <w:color w:val="000000" w:themeColor="text1"/>
        </w:rPr>
        <w:t>组</w:t>
      </w:r>
      <w:r w:rsidR="00B43367" w:rsidRPr="00B952C0">
        <w:rPr>
          <w:rFonts w:ascii="仿宋" w:eastAsia="仿宋" w:hAnsi="仿宋" w:cs="Times New Roman" w:hint="eastAsia"/>
          <w:color w:val="000000" w:themeColor="text1"/>
        </w:rPr>
        <w:t>、卜裔六</w:t>
      </w:r>
      <w:r w:rsidR="00B43367" w:rsidRPr="00B952C0">
        <w:rPr>
          <w:rFonts w:ascii="仿宋" w:eastAsia="仿宋" w:hAnsi="仿宋" w:cs="Times New Roman"/>
          <w:color w:val="000000" w:themeColor="text1"/>
        </w:rPr>
        <w:t>组</w:t>
      </w:r>
      <w:r w:rsidR="00B43367" w:rsidRPr="00B952C0">
        <w:rPr>
          <w:rFonts w:ascii="仿宋" w:eastAsia="仿宋" w:hAnsi="仿宋" w:cs="Times New Roman" w:hint="eastAsia"/>
          <w:color w:val="000000" w:themeColor="text1"/>
        </w:rPr>
        <w:t>、卜裔七</w:t>
      </w:r>
      <w:r w:rsidR="00B43367" w:rsidRPr="00B952C0">
        <w:rPr>
          <w:rFonts w:ascii="仿宋" w:eastAsia="仿宋" w:hAnsi="仿宋" w:cs="Times New Roman"/>
          <w:color w:val="000000" w:themeColor="text1"/>
        </w:rPr>
        <w:t>组</w:t>
      </w:r>
      <w:r w:rsidR="00B43367" w:rsidRPr="00B952C0">
        <w:rPr>
          <w:rFonts w:ascii="仿宋" w:eastAsia="仿宋" w:hAnsi="仿宋" w:cs="Times New Roman" w:hint="eastAsia"/>
          <w:color w:val="000000" w:themeColor="text1"/>
        </w:rPr>
        <w:t>、龙玩十组、龙玩十一组、龙玩十二组、龙玩十三组、儒黎（道典）十四组、</w:t>
      </w:r>
      <w:r w:rsidR="00B43367" w:rsidRPr="00B952C0">
        <w:rPr>
          <w:rFonts w:ascii="仿宋" w:eastAsia="仿宋" w:hAnsi="仿宋" w:cs="Times New Roman" w:hint="eastAsia"/>
          <w:kern w:val="0"/>
          <w:lang w:val="zh-CN"/>
        </w:rPr>
        <w:t>儒库十五组和东风组</w:t>
      </w:r>
      <w:r w:rsidRPr="00B952C0">
        <w:rPr>
          <w:rFonts w:ascii="仿宋" w:eastAsia="仿宋" w:hAnsi="仿宋" w:cs="Times New Roman"/>
          <w:kern w:val="0"/>
          <w:lang w:val="zh-CN"/>
        </w:rPr>
        <w:t>，村域总面积为</w:t>
      </w:r>
      <w:r w:rsidR="003E1401" w:rsidRPr="00B952C0">
        <w:rPr>
          <w:rFonts w:ascii="仿宋" w:eastAsia="仿宋" w:hAnsi="仿宋" w:cs="Times New Roman" w:hint="eastAsia"/>
          <w:kern w:val="0"/>
          <w:lang w:val="zh-CN"/>
        </w:rPr>
        <w:t>1295.64</w:t>
      </w:r>
      <w:r w:rsidRPr="00B952C0">
        <w:rPr>
          <w:rFonts w:ascii="仿宋" w:eastAsia="仿宋" w:hAnsi="仿宋" w:cs="Times New Roman"/>
          <w:kern w:val="0"/>
          <w:lang w:val="zh-CN"/>
        </w:rPr>
        <w:t>公顷。</w:t>
      </w:r>
    </w:p>
    <w:p w14:paraId="00D4BFC8" w14:textId="77777777" w:rsidR="00681928" w:rsidRPr="00993B05" w:rsidRDefault="00681928" w:rsidP="00F60D2B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993B05">
        <w:rPr>
          <w:rFonts w:ascii="黑体" w:eastAsia="黑体" w:hAnsi="黑体" w:cs="Times New Roman"/>
          <w:b/>
          <w:bCs/>
          <w:kern w:val="0"/>
          <w:lang w:val="zh-CN"/>
        </w:rPr>
        <w:t>二、发展定位、目标及村庄类型</w:t>
      </w:r>
    </w:p>
    <w:p w14:paraId="7CCE1BDE" w14:textId="77777777" w:rsidR="00681928" w:rsidRPr="003253CC" w:rsidRDefault="00681928" w:rsidP="00681928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3253CC">
        <w:rPr>
          <w:rFonts w:ascii="楷体" w:eastAsia="楷体" w:hAnsi="楷体" w:cs="Times New Roman"/>
          <w:b/>
          <w:bCs/>
          <w:kern w:val="0"/>
          <w:lang w:val="zh-CN"/>
        </w:rPr>
        <w:t>(一) 总体定位</w:t>
      </w:r>
    </w:p>
    <w:p w14:paraId="0A10070B" w14:textId="77777777" w:rsidR="00681928" w:rsidRPr="00B952C0" w:rsidRDefault="00681928" w:rsidP="00B73492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——</w:t>
      </w:r>
      <w:r w:rsidR="003D681F" w:rsidRPr="00B952C0">
        <w:rPr>
          <w:rFonts w:ascii="仿宋" w:eastAsia="仿宋" w:hAnsi="仿宋" w:cs="Times New Roman" w:hint="eastAsia"/>
          <w:kern w:val="0"/>
          <w:lang w:val="zh-CN"/>
        </w:rPr>
        <w:t>瓜果飘香，农味龙合</w:t>
      </w:r>
      <w:r w:rsidRPr="00B952C0">
        <w:rPr>
          <w:rFonts w:ascii="仿宋" w:eastAsia="仿宋" w:hAnsi="仿宋" w:cs="Times New Roman"/>
          <w:kern w:val="0"/>
          <w:lang w:val="zh-CN"/>
        </w:rPr>
        <w:t>——</w:t>
      </w:r>
    </w:p>
    <w:p w14:paraId="23EAE586" w14:textId="77777777" w:rsidR="00681928" w:rsidRPr="00B952C0" w:rsidRDefault="003D681F" w:rsidP="00B73492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 w:hint="eastAsia"/>
          <w:kern w:val="0"/>
          <w:lang w:val="zh-CN"/>
        </w:rPr>
        <w:t>以协调推进新型城镇化战略和乡村振兴战略为抓手，促进城乡要素自由流动和平等交换，将龙合村打造成</w:t>
      </w:r>
      <w:r w:rsidRPr="00B952C0">
        <w:rPr>
          <w:rFonts w:ascii="仿宋" w:eastAsia="仿宋" w:hAnsi="仿宋" w:cs="Times New Roman"/>
          <w:kern w:val="0"/>
          <w:lang w:val="zh-CN"/>
        </w:rPr>
        <w:t>以</w:t>
      </w:r>
      <w:r w:rsidRPr="00B952C0">
        <w:rPr>
          <w:rFonts w:ascii="仿宋" w:eastAsia="仿宋" w:hAnsi="仿宋" w:cs="Times New Roman" w:hint="eastAsia"/>
          <w:kern w:val="0"/>
          <w:lang w:val="zh-CN"/>
        </w:rPr>
        <w:t>冬季瓜菜、水果</w:t>
      </w:r>
      <w:r w:rsidRPr="00B952C0">
        <w:rPr>
          <w:rFonts w:ascii="仿宋" w:eastAsia="仿宋" w:hAnsi="仿宋" w:cs="Times New Roman"/>
          <w:kern w:val="0"/>
          <w:lang w:val="zh-CN"/>
        </w:rPr>
        <w:t>等</w:t>
      </w:r>
      <w:r w:rsidRPr="00B952C0">
        <w:rPr>
          <w:rFonts w:ascii="仿宋" w:eastAsia="仿宋" w:hAnsi="仿宋" w:cs="Times New Roman" w:hint="eastAsia"/>
          <w:kern w:val="0"/>
          <w:lang w:val="zh-CN"/>
        </w:rPr>
        <w:t>热带农作物</w:t>
      </w:r>
      <w:r w:rsidRPr="00B952C0">
        <w:rPr>
          <w:rFonts w:ascii="仿宋" w:eastAsia="仿宋" w:hAnsi="仿宋" w:cs="Times New Roman"/>
          <w:kern w:val="0"/>
          <w:lang w:val="zh-CN"/>
        </w:rPr>
        <w:t>农业规模化种植为主，</w:t>
      </w:r>
      <w:r w:rsidRPr="00B952C0">
        <w:rPr>
          <w:rFonts w:ascii="仿宋" w:eastAsia="仿宋" w:hAnsi="仿宋" w:cs="Times New Roman" w:hint="eastAsia"/>
          <w:kern w:val="0"/>
          <w:lang w:val="zh-CN"/>
        </w:rPr>
        <w:t>结合“黑山羊”等家禽养殖发展现代化生态循环</w:t>
      </w:r>
      <w:r w:rsidRPr="00B952C0">
        <w:rPr>
          <w:rFonts w:ascii="仿宋" w:eastAsia="仿宋" w:hAnsi="仿宋" w:cs="Times New Roman"/>
          <w:kern w:val="0"/>
          <w:lang w:val="zh-CN"/>
        </w:rPr>
        <w:t>农业</w:t>
      </w:r>
      <w:r w:rsidRPr="00B952C0">
        <w:rPr>
          <w:rFonts w:ascii="仿宋" w:eastAsia="仿宋" w:hAnsi="仿宋" w:cs="Times New Roman" w:hint="eastAsia"/>
          <w:kern w:val="0"/>
          <w:lang w:val="zh-CN"/>
        </w:rPr>
        <w:t>基地</w:t>
      </w:r>
      <w:r w:rsidR="00681928" w:rsidRPr="00B952C0">
        <w:rPr>
          <w:rFonts w:ascii="仿宋" w:eastAsia="仿宋" w:hAnsi="仿宋" w:cs="Times New Roman"/>
          <w:kern w:val="0"/>
          <w:lang w:val="zh-CN"/>
        </w:rPr>
        <w:t>。</w:t>
      </w:r>
    </w:p>
    <w:p w14:paraId="057405D2" w14:textId="77777777" w:rsidR="00681928" w:rsidRPr="003253CC" w:rsidRDefault="00681928" w:rsidP="003253CC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3253CC">
        <w:rPr>
          <w:rFonts w:ascii="楷体" w:eastAsia="楷体" w:hAnsi="楷体" w:cs="Times New Roman"/>
          <w:b/>
          <w:bCs/>
          <w:kern w:val="0"/>
          <w:lang w:val="zh-CN"/>
        </w:rPr>
        <w:t>(二) 总体目标</w:t>
      </w:r>
    </w:p>
    <w:p w14:paraId="4F100F59" w14:textId="7430C0F8" w:rsidR="00681928" w:rsidRPr="00B952C0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围绕总体定位，以建设“产业兴旺之美</w:t>
      </w:r>
      <w:r w:rsidR="009B48BE">
        <w:rPr>
          <w:rFonts w:ascii="仿宋" w:eastAsia="仿宋" w:hAnsi="仿宋" w:cs="Times New Roman"/>
          <w:kern w:val="0"/>
          <w:lang w:val="zh-CN"/>
        </w:rPr>
        <w:t>”</w:t>
      </w:r>
      <w:r w:rsidRPr="00B952C0">
        <w:rPr>
          <w:rFonts w:ascii="仿宋" w:eastAsia="仿宋" w:hAnsi="仿宋" w:cs="Times New Roman"/>
          <w:kern w:val="0"/>
          <w:lang w:val="zh-CN"/>
        </w:rPr>
        <w:t>、</w:t>
      </w:r>
      <w:r w:rsidR="009B48BE">
        <w:rPr>
          <w:rFonts w:ascii="仿宋" w:eastAsia="仿宋" w:hAnsi="仿宋" w:cs="Times New Roman" w:hint="eastAsia"/>
          <w:kern w:val="0"/>
          <w:lang w:val="zh-CN"/>
        </w:rPr>
        <w:t>“</w:t>
      </w:r>
      <w:r w:rsidRPr="00B952C0">
        <w:rPr>
          <w:rFonts w:ascii="仿宋" w:eastAsia="仿宋" w:hAnsi="仿宋" w:cs="Times New Roman"/>
          <w:kern w:val="0"/>
          <w:lang w:val="zh-CN"/>
        </w:rPr>
        <w:t>和谐有序之美</w:t>
      </w:r>
      <w:r w:rsidR="009B48BE">
        <w:rPr>
          <w:rFonts w:ascii="仿宋" w:eastAsia="仿宋" w:hAnsi="仿宋" w:cs="Times New Roman" w:hint="eastAsia"/>
          <w:kern w:val="0"/>
          <w:lang w:val="zh-CN"/>
        </w:rPr>
        <w:t>”</w:t>
      </w:r>
      <w:r w:rsidR="009B48BE">
        <w:rPr>
          <w:rFonts w:ascii="仿宋" w:eastAsia="仿宋" w:hAnsi="仿宋" w:cs="Times New Roman" w:hint="eastAsia"/>
          <w:kern w:val="0"/>
          <w:lang w:val="zh-CN"/>
        </w:rPr>
        <w:t>、</w:t>
      </w:r>
      <w:r w:rsidRPr="00B952C0">
        <w:rPr>
          <w:rFonts w:ascii="仿宋" w:eastAsia="仿宋" w:hAnsi="仿宋" w:cs="Times New Roman"/>
          <w:kern w:val="0"/>
          <w:lang w:val="zh-CN"/>
        </w:rPr>
        <w:t>“共建共享之美”、</w:t>
      </w:r>
      <w:r w:rsidR="009B48BE">
        <w:rPr>
          <w:rFonts w:ascii="仿宋" w:eastAsia="仿宋" w:hAnsi="仿宋" w:cs="Times New Roman" w:hint="eastAsia"/>
          <w:kern w:val="0"/>
          <w:lang w:val="zh-CN"/>
        </w:rPr>
        <w:t>“</w:t>
      </w:r>
      <w:r w:rsidRPr="00B952C0">
        <w:rPr>
          <w:rFonts w:ascii="仿宋" w:eastAsia="仿宋" w:hAnsi="仿宋" w:cs="Times New Roman"/>
          <w:kern w:val="0"/>
          <w:lang w:val="zh-CN"/>
        </w:rPr>
        <w:t>文明淳朴之美</w:t>
      </w:r>
      <w:r w:rsidR="009B48BE">
        <w:rPr>
          <w:rFonts w:ascii="仿宋" w:eastAsia="仿宋" w:hAnsi="仿宋" w:cs="Times New Roman" w:hint="eastAsia"/>
          <w:kern w:val="0"/>
          <w:lang w:val="zh-CN"/>
        </w:rPr>
        <w:t>”</w:t>
      </w:r>
      <w:r w:rsidRPr="00B952C0">
        <w:rPr>
          <w:rFonts w:ascii="仿宋" w:eastAsia="仿宋" w:hAnsi="仿宋" w:cs="Times New Roman"/>
          <w:kern w:val="0"/>
          <w:lang w:val="zh-CN"/>
        </w:rPr>
        <w:t>、“自然生态之美”为核心目标，以景区化理念规划村庄，重点从生态保护、文化传承、产业融合、设施完善、空间优化、环境提升六个方面，为村民生产生活和乡村旅游发展创造一个内涵丰富、和谐健康的生活环境，提升生活品质。</w:t>
      </w:r>
    </w:p>
    <w:p w14:paraId="36299CCE" w14:textId="77777777" w:rsidR="00681928" w:rsidRPr="003253CC" w:rsidRDefault="00681928" w:rsidP="003253CC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3253CC">
        <w:rPr>
          <w:rFonts w:ascii="楷体" w:eastAsia="楷体" w:hAnsi="楷体" w:cs="Times New Roman"/>
          <w:b/>
          <w:bCs/>
          <w:kern w:val="0"/>
          <w:lang w:val="zh-CN"/>
        </w:rPr>
        <w:t>(三) 村庄分类</w:t>
      </w:r>
    </w:p>
    <w:p w14:paraId="75714BA5" w14:textId="77777777" w:rsidR="00B73492" w:rsidRPr="00B952C0" w:rsidRDefault="00B73492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 w:hint="eastAsia"/>
          <w:kern w:val="0"/>
          <w:lang w:val="zh-CN"/>
        </w:rPr>
        <w:t>城郊融合类</w:t>
      </w:r>
      <w:r w:rsidR="003D681F" w:rsidRPr="00B952C0">
        <w:rPr>
          <w:rFonts w:ascii="仿宋" w:eastAsia="仿宋" w:hAnsi="仿宋" w:cs="Times New Roman" w:hint="eastAsia"/>
          <w:kern w:val="0"/>
          <w:lang w:val="zh-CN"/>
        </w:rPr>
        <w:t>1</w:t>
      </w:r>
      <w:r w:rsidRPr="00B952C0">
        <w:rPr>
          <w:rFonts w:ascii="仿宋" w:eastAsia="仿宋" w:hAnsi="仿宋" w:cs="Times New Roman" w:hint="eastAsia"/>
          <w:kern w:val="0"/>
          <w:lang w:val="zh-CN"/>
        </w:rPr>
        <w:t>个：</w:t>
      </w:r>
      <w:r w:rsidR="003D681F" w:rsidRPr="00B952C0">
        <w:rPr>
          <w:rFonts w:ascii="仿宋" w:eastAsia="仿宋" w:hAnsi="仿宋" w:cs="Times New Roman" w:hint="eastAsia"/>
          <w:kern w:val="0"/>
          <w:lang w:val="zh-CN"/>
        </w:rPr>
        <w:t>儒库十五组</w:t>
      </w:r>
      <w:r w:rsidR="00396CCB" w:rsidRPr="00B952C0">
        <w:rPr>
          <w:rFonts w:ascii="仿宋" w:eastAsia="仿宋" w:hAnsi="仿宋" w:cs="Times New Roman" w:hint="eastAsia"/>
          <w:kern w:val="0"/>
          <w:lang w:val="zh-CN"/>
        </w:rPr>
        <w:t>；</w:t>
      </w:r>
    </w:p>
    <w:p w14:paraId="166FFDB8" w14:textId="77777777" w:rsidR="00681928" w:rsidRPr="00B952C0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集聚提升类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4</w:t>
      </w:r>
      <w:r w:rsidRPr="00B952C0">
        <w:rPr>
          <w:rFonts w:ascii="仿宋" w:eastAsia="仿宋" w:hAnsi="仿宋" w:cs="Times New Roman"/>
          <w:kern w:val="0"/>
          <w:lang w:val="zh-CN"/>
        </w:rPr>
        <w:t>个：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龙玩十、十一、十二、东风组</w:t>
      </w:r>
      <w:r w:rsidRPr="00B952C0">
        <w:rPr>
          <w:rFonts w:ascii="仿宋" w:eastAsia="仿宋" w:hAnsi="仿宋" w:cs="Times New Roman"/>
          <w:kern w:val="0"/>
          <w:lang w:val="zh-CN"/>
        </w:rPr>
        <w:t>；</w:t>
      </w:r>
    </w:p>
    <w:p w14:paraId="61652A39" w14:textId="77777777" w:rsidR="00681928" w:rsidRPr="00B952C0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基础整治类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9</w:t>
      </w:r>
      <w:r w:rsidRPr="00B952C0">
        <w:rPr>
          <w:rFonts w:ascii="仿宋" w:eastAsia="仿宋" w:hAnsi="仿宋" w:cs="Times New Roman"/>
          <w:kern w:val="0"/>
          <w:lang w:val="zh-CN"/>
        </w:rPr>
        <w:t>个：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卜裔一</w:t>
      </w:r>
      <w:r w:rsidR="00846732" w:rsidRPr="00B952C0">
        <w:rPr>
          <w:rFonts w:ascii="仿宋" w:eastAsia="仿宋" w:hAnsi="仿宋" w:cs="Times New Roman"/>
          <w:kern w:val="0"/>
          <w:lang w:val="zh-CN"/>
        </w:rPr>
        <w:t>组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、卜裔二</w:t>
      </w:r>
      <w:r w:rsidR="00846732" w:rsidRPr="00B952C0">
        <w:rPr>
          <w:rFonts w:ascii="仿宋" w:eastAsia="仿宋" w:hAnsi="仿宋" w:cs="Times New Roman"/>
          <w:kern w:val="0"/>
          <w:lang w:val="zh-CN"/>
        </w:rPr>
        <w:t>组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、卜裔三</w:t>
      </w:r>
      <w:r w:rsidR="00846732" w:rsidRPr="00B952C0">
        <w:rPr>
          <w:rFonts w:ascii="仿宋" w:eastAsia="仿宋" w:hAnsi="仿宋" w:cs="Times New Roman"/>
          <w:kern w:val="0"/>
          <w:lang w:val="zh-CN"/>
        </w:rPr>
        <w:t>组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、卜裔四</w:t>
      </w:r>
      <w:r w:rsidR="00846732" w:rsidRPr="00B952C0">
        <w:rPr>
          <w:rFonts w:ascii="仿宋" w:eastAsia="仿宋" w:hAnsi="仿宋" w:cs="Times New Roman"/>
          <w:kern w:val="0"/>
          <w:lang w:val="zh-CN"/>
        </w:rPr>
        <w:t>组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、卜裔五</w:t>
      </w:r>
      <w:r w:rsidR="00846732" w:rsidRPr="00B952C0">
        <w:rPr>
          <w:rFonts w:ascii="仿宋" w:eastAsia="仿宋" w:hAnsi="仿宋" w:cs="Times New Roman"/>
          <w:kern w:val="0"/>
          <w:lang w:val="zh-CN"/>
        </w:rPr>
        <w:t>组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、卜裔六</w:t>
      </w:r>
      <w:r w:rsidR="00846732" w:rsidRPr="00B952C0">
        <w:rPr>
          <w:rFonts w:ascii="仿宋" w:eastAsia="仿宋" w:hAnsi="仿宋" w:cs="Times New Roman"/>
          <w:kern w:val="0"/>
          <w:lang w:val="zh-CN"/>
        </w:rPr>
        <w:t>组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、卜裔七</w:t>
      </w:r>
      <w:r w:rsidR="00846732" w:rsidRPr="00B952C0">
        <w:rPr>
          <w:rFonts w:ascii="仿宋" w:eastAsia="仿宋" w:hAnsi="仿宋" w:cs="Times New Roman"/>
          <w:kern w:val="0"/>
          <w:lang w:val="zh-CN"/>
        </w:rPr>
        <w:t>组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、儒黎（道典）十四组</w:t>
      </w:r>
      <w:r w:rsidRPr="00B952C0">
        <w:rPr>
          <w:rFonts w:ascii="仿宋" w:eastAsia="仿宋" w:hAnsi="仿宋" w:cs="Times New Roman"/>
          <w:kern w:val="0"/>
          <w:lang w:val="zh-CN"/>
        </w:rPr>
        <w:t>。</w:t>
      </w:r>
    </w:p>
    <w:p w14:paraId="0111B742" w14:textId="77777777" w:rsidR="00681928" w:rsidRPr="00993B05" w:rsidRDefault="00681928" w:rsidP="00F60D2B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993B05">
        <w:rPr>
          <w:rFonts w:ascii="黑体" w:eastAsia="黑体" w:hAnsi="黑体" w:cs="Times New Roman"/>
          <w:b/>
          <w:bCs/>
          <w:kern w:val="0"/>
          <w:lang w:val="zh-CN"/>
        </w:rPr>
        <w:t>三、村域产业布局</w:t>
      </w:r>
    </w:p>
    <w:p w14:paraId="1FB01DB2" w14:textId="77777777" w:rsidR="00681928" w:rsidRPr="00B952C0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规划形成“</w:t>
      </w:r>
      <w:r w:rsidR="00B24DF2" w:rsidRPr="00B952C0">
        <w:rPr>
          <w:rFonts w:ascii="仿宋" w:eastAsia="仿宋" w:hAnsi="仿宋" w:cs="Times New Roman" w:hint="eastAsia"/>
          <w:kern w:val="0"/>
          <w:lang w:val="zh-CN"/>
        </w:rPr>
        <w:t>一心、</w:t>
      </w:r>
      <w:r w:rsidR="00B1711C" w:rsidRPr="00B952C0">
        <w:rPr>
          <w:rFonts w:ascii="仿宋" w:eastAsia="仿宋" w:hAnsi="仿宋" w:cs="Times New Roman" w:hint="eastAsia"/>
          <w:kern w:val="0"/>
          <w:lang w:val="zh-CN"/>
        </w:rPr>
        <w:t>三片</w:t>
      </w:r>
      <w:r w:rsidRPr="00B952C0">
        <w:rPr>
          <w:rFonts w:ascii="仿宋" w:eastAsia="仿宋" w:hAnsi="仿宋" w:cs="Times New Roman"/>
          <w:kern w:val="0"/>
          <w:lang w:val="zh-CN"/>
        </w:rPr>
        <w:t>区”的产业空间结构。</w:t>
      </w:r>
    </w:p>
    <w:p w14:paraId="426FEA6A" w14:textId="77777777" w:rsidR="00B24DF2" w:rsidRPr="00B952C0" w:rsidRDefault="00B24DF2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 w:hint="eastAsia"/>
          <w:kern w:val="0"/>
          <w:lang w:val="zh-CN"/>
        </w:rPr>
        <w:t>一心：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综合服务中心</w:t>
      </w:r>
      <w:r w:rsidRPr="00B952C0">
        <w:rPr>
          <w:rFonts w:ascii="仿宋" w:eastAsia="仿宋" w:hAnsi="仿宋" w:cs="Times New Roman" w:hint="eastAsia"/>
          <w:kern w:val="0"/>
          <w:lang w:val="zh-CN"/>
        </w:rPr>
        <w:t>；</w:t>
      </w:r>
    </w:p>
    <w:p w14:paraId="5A80C50D" w14:textId="77777777" w:rsidR="00681928" w:rsidRPr="00B952C0" w:rsidRDefault="00B1711C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 w:hint="eastAsia"/>
          <w:kern w:val="0"/>
          <w:lang w:val="zh-CN"/>
        </w:rPr>
        <w:t>三片</w:t>
      </w:r>
      <w:r w:rsidR="00681928" w:rsidRPr="00B952C0">
        <w:rPr>
          <w:rFonts w:ascii="仿宋" w:eastAsia="仿宋" w:hAnsi="仿宋" w:cs="Times New Roman"/>
          <w:kern w:val="0"/>
          <w:lang w:val="zh-CN"/>
        </w:rPr>
        <w:t>区：</w:t>
      </w:r>
      <w:r w:rsidR="00846732" w:rsidRPr="00B952C0">
        <w:rPr>
          <w:rFonts w:ascii="仿宋" w:eastAsia="仿宋" w:hAnsi="仿宋" w:cs="Times New Roman"/>
          <w:kern w:val="0"/>
          <w:lang w:val="zh-CN"/>
        </w:rPr>
        <w:t>热带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瓜菜水果种植区</w:t>
      </w:r>
      <w:r w:rsidRPr="00B952C0">
        <w:rPr>
          <w:rFonts w:ascii="仿宋" w:eastAsia="仿宋" w:hAnsi="仿宋" w:cs="Times New Roman" w:hint="eastAsia"/>
          <w:kern w:val="0"/>
          <w:lang w:val="zh-CN"/>
        </w:rPr>
        <w:t>、</w:t>
      </w:r>
      <w:r w:rsidR="00846732" w:rsidRPr="00B952C0">
        <w:rPr>
          <w:rFonts w:ascii="仿宋" w:eastAsia="仿宋" w:hAnsi="仿宋" w:cs="Times New Roman" w:hint="eastAsia"/>
          <w:kern w:val="0"/>
          <w:lang w:val="zh-CN"/>
        </w:rPr>
        <w:t>畜牧养殖、热带经济作物种植区</w:t>
      </w:r>
      <w:r w:rsidRPr="00B952C0">
        <w:rPr>
          <w:rFonts w:ascii="仿宋" w:eastAsia="仿宋" w:hAnsi="仿宋" w:cs="Times New Roman" w:hint="eastAsia"/>
          <w:kern w:val="0"/>
          <w:lang w:val="zh-CN"/>
        </w:rPr>
        <w:t>、</w:t>
      </w:r>
      <w:r w:rsidR="00846732" w:rsidRPr="00B952C0">
        <w:rPr>
          <w:rFonts w:ascii="仿宋" w:eastAsia="仿宋" w:hAnsi="仿宋" w:cs="Times New Roman"/>
          <w:kern w:val="0"/>
          <w:lang w:val="zh-CN"/>
        </w:rPr>
        <w:t>粮食作物种</w:t>
      </w:r>
      <w:r w:rsidR="00846732" w:rsidRPr="00B952C0">
        <w:rPr>
          <w:rFonts w:ascii="仿宋" w:eastAsia="仿宋" w:hAnsi="仿宋" w:cs="Times New Roman"/>
          <w:kern w:val="0"/>
          <w:lang w:val="zh-CN"/>
        </w:rPr>
        <w:lastRenderedPageBreak/>
        <w:t>植区</w:t>
      </w:r>
      <w:r w:rsidR="00681928" w:rsidRPr="00B952C0">
        <w:rPr>
          <w:rFonts w:ascii="仿宋" w:eastAsia="仿宋" w:hAnsi="仿宋" w:cs="Times New Roman"/>
          <w:kern w:val="0"/>
          <w:lang w:val="zh-CN"/>
        </w:rPr>
        <w:t>。</w:t>
      </w:r>
    </w:p>
    <w:p w14:paraId="19147278" w14:textId="77777777" w:rsidR="00681928" w:rsidRPr="00993B05" w:rsidRDefault="00681928" w:rsidP="00F60D2B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993B05">
        <w:rPr>
          <w:rFonts w:ascii="黑体" w:eastAsia="黑体" w:hAnsi="黑体" w:cs="Times New Roman"/>
          <w:b/>
          <w:bCs/>
          <w:kern w:val="0"/>
          <w:lang w:val="zh-CN"/>
        </w:rPr>
        <w:t>四、村域国土空间规划</w:t>
      </w:r>
    </w:p>
    <w:p w14:paraId="40782AE7" w14:textId="77777777" w:rsidR="00681928" w:rsidRPr="00B952C0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人口规模：至2035年，</w:t>
      </w:r>
      <w:r w:rsidR="00725CA0" w:rsidRPr="00B952C0">
        <w:rPr>
          <w:rFonts w:ascii="仿宋" w:eastAsia="仿宋" w:hAnsi="仿宋" w:cs="Times New Roman" w:hint="eastAsia"/>
          <w:kern w:val="0"/>
          <w:lang w:val="zh-CN"/>
        </w:rPr>
        <w:t>龙合</w:t>
      </w:r>
      <w:r w:rsidR="00B73492" w:rsidRPr="00B952C0">
        <w:rPr>
          <w:rFonts w:ascii="仿宋" w:eastAsia="仿宋" w:hAnsi="仿宋" w:cs="Times New Roman" w:hint="eastAsia"/>
          <w:kern w:val="0"/>
          <w:lang w:val="zh-CN"/>
        </w:rPr>
        <w:t>村</w:t>
      </w:r>
      <w:r w:rsidRPr="00B952C0">
        <w:rPr>
          <w:rFonts w:ascii="仿宋" w:eastAsia="仿宋" w:hAnsi="仿宋" w:cs="Times New Roman"/>
          <w:kern w:val="0"/>
          <w:lang w:val="zh-CN"/>
        </w:rPr>
        <w:t>户籍人口</w:t>
      </w:r>
      <w:r w:rsidR="00B1711C" w:rsidRPr="00B952C0">
        <w:rPr>
          <w:rFonts w:ascii="仿宋" w:eastAsia="仿宋" w:hAnsi="仿宋" w:cs="Times New Roman" w:hint="eastAsia"/>
          <w:kern w:val="0"/>
          <w:lang w:val="zh-CN"/>
        </w:rPr>
        <w:t>约</w:t>
      </w:r>
      <w:r w:rsidRPr="00B952C0">
        <w:rPr>
          <w:rFonts w:ascii="仿宋" w:eastAsia="仿宋" w:hAnsi="仿宋" w:cs="Times New Roman"/>
          <w:kern w:val="0"/>
          <w:lang w:val="zh-CN"/>
        </w:rPr>
        <w:t>为</w:t>
      </w:r>
      <w:r w:rsidR="00725CA0" w:rsidRPr="00B952C0">
        <w:rPr>
          <w:rFonts w:ascii="仿宋" w:eastAsia="仿宋" w:hAnsi="仿宋" w:cs="Times New Roman" w:hint="eastAsia"/>
          <w:kern w:val="0"/>
          <w:lang w:val="zh-CN"/>
        </w:rPr>
        <w:t>4017</w:t>
      </w:r>
      <w:r w:rsidRPr="00B952C0">
        <w:rPr>
          <w:rFonts w:ascii="仿宋" w:eastAsia="仿宋" w:hAnsi="仿宋" w:cs="Times New Roman"/>
          <w:kern w:val="0"/>
          <w:lang w:val="zh-CN"/>
        </w:rPr>
        <w:t>人，总户数约为</w:t>
      </w:r>
      <w:r w:rsidR="00725CA0" w:rsidRPr="00B952C0">
        <w:rPr>
          <w:rFonts w:ascii="仿宋" w:eastAsia="仿宋" w:hAnsi="仿宋" w:cs="Times New Roman" w:hint="eastAsia"/>
          <w:kern w:val="0"/>
          <w:lang w:val="zh-CN"/>
        </w:rPr>
        <w:t>964</w:t>
      </w:r>
      <w:r w:rsidRPr="00B952C0">
        <w:rPr>
          <w:rFonts w:ascii="仿宋" w:eastAsia="仿宋" w:hAnsi="仿宋" w:cs="Times New Roman"/>
          <w:kern w:val="0"/>
          <w:lang w:val="zh-CN"/>
        </w:rPr>
        <w:t>户，分户需求</w:t>
      </w:r>
      <w:r w:rsidR="00725CA0" w:rsidRPr="00B952C0">
        <w:rPr>
          <w:rFonts w:ascii="仿宋" w:eastAsia="仿宋" w:hAnsi="仿宋" w:cs="Times New Roman" w:hint="eastAsia"/>
          <w:kern w:val="0"/>
          <w:lang w:val="zh-CN"/>
        </w:rPr>
        <w:t>298</w:t>
      </w:r>
      <w:r w:rsidRPr="00B952C0">
        <w:rPr>
          <w:rFonts w:ascii="仿宋" w:eastAsia="仿宋" w:hAnsi="仿宋" w:cs="Times New Roman"/>
          <w:kern w:val="0"/>
          <w:lang w:val="zh-CN"/>
        </w:rPr>
        <w:t>户。</w:t>
      </w:r>
    </w:p>
    <w:p w14:paraId="5D12BA6E" w14:textId="77777777" w:rsidR="00681928" w:rsidRPr="00B952C0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用地规模：本次规划的村域总用地</w:t>
      </w:r>
      <w:r w:rsidR="00725CA0" w:rsidRPr="00B952C0">
        <w:rPr>
          <w:rFonts w:ascii="仿宋" w:eastAsia="仿宋" w:hAnsi="仿宋" w:cs="Times New Roman" w:hint="eastAsia"/>
          <w:kern w:val="0"/>
          <w:lang w:val="zh-CN"/>
        </w:rPr>
        <w:t>1295.64</w:t>
      </w:r>
      <w:r w:rsidRPr="00B952C0">
        <w:rPr>
          <w:rFonts w:ascii="仿宋" w:eastAsia="仿宋" w:hAnsi="仿宋" w:cs="Times New Roman"/>
          <w:kern w:val="0"/>
          <w:lang w:val="zh-CN"/>
        </w:rPr>
        <w:t>公顷，其中，村庄建设用地</w:t>
      </w:r>
      <w:r w:rsidR="00725CA0" w:rsidRPr="00B952C0">
        <w:rPr>
          <w:rFonts w:ascii="仿宋" w:eastAsia="仿宋" w:hAnsi="仿宋" w:cs="Times New Roman" w:hint="eastAsia"/>
          <w:kern w:val="0"/>
          <w:lang w:val="zh-CN"/>
        </w:rPr>
        <w:t>40.75</w:t>
      </w:r>
      <w:r w:rsidRPr="00B952C0">
        <w:rPr>
          <w:rFonts w:ascii="仿宋" w:eastAsia="仿宋" w:hAnsi="仿宋" w:cs="Times New Roman"/>
          <w:kern w:val="0"/>
          <w:lang w:val="zh-CN"/>
        </w:rPr>
        <w:t>公顷，非村庄建设用地</w:t>
      </w:r>
      <w:r w:rsidR="00691A29" w:rsidRPr="00B952C0">
        <w:rPr>
          <w:rFonts w:ascii="仿宋" w:eastAsia="仿宋" w:hAnsi="仿宋" w:cs="Times New Roman" w:hint="eastAsia"/>
          <w:kern w:val="0"/>
          <w:lang w:val="zh-CN"/>
        </w:rPr>
        <w:t>5.26</w:t>
      </w:r>
      <w:r w:rsidRPr="00B952C0">
        <w:rPr>
          <w:rFonts w:ascii="仿宋" w:eastAsia="仿宋" w:hAnsi="仿宋" w:cs="Times New Roman"/>
          <w:kern w:val="0"/>
          <w:lang w:val="zh-CN"/>
        </w:rPr>
        <w:t>公顷；非建设用地</w:t>
      </w:r>
      <w:r w:rsidR="001018BD" w:rsidRPr="00B952C0">
        <w:rPr>
          <w:rFonts w:ascii="仿宋" w:eastAsia="仿宋" w:hAnsi="仿宋" w:cs="Times New Roman" w:hint="eastAsia"/>
          <w:kern w:val="0"/>
          <w:lang w:val="zh-CN"/>
        </w:rPr>
        <w:t>1249.23</w:t>
      </w:r>
      <w:r w:rsidRPr="00B952C0">
        <w:rPr>
          <w:rFonts w:ascii="仿宋" w:eastAsia="仿宋" w:hAnsi="仿宋" w:cs="Times New Roman"/>
          <w:kern w:val="0"/>
          <w:lang w:val="zh-CN"/>
        </w:rPr>
        <w:t>公顷，其中，基本农田</w:t>
      </w:r>
      <w:r w:rsidR="001018BD" w:rsidRPr="00B952C0">
        <w:rPr>
          <w:rFonts w:ascii="仿宋" w:eastAsia="仿宋" w:hAnsi="仿宋" w:cs="Times New Roman" w:hint="eastAsia"/>
          <w:kern w:val="0"/>
          <w:lang w:val="zh-CN"/>
        </w:rPr>
        <w:t>387.94</w:t>
      </w:r>
      <w:r w:rsidRPr="00B952C0">
        <w:rPr>
          <w:rFonts w:ascii="仿宋" w:eastAsia="仿宋" w:hAnsi="仿宋" w:cs="Times New Roman"/>
          <w:kern w:val="0"/>
          <w:lang w:val="zh-CN"/>
        </w:rPr>
        <w:t>公顷，其它土地</w:t>
      </w:r>
      <w:r w:rsidR="001018BD" w:rsidRPr="00B952C0">
        <w:rPr>
          <w:rFonts w:ascii="仿宋" w:eastAsia="仿宋" w:hAnsi="仿宋" w:cs="Times New Roman" w:hint="eastAsia"/>
          <w:kern w:val="0"/>
          <w:lang w:val="zh-CN"/>
        </w:rPr>
        <w:t>0.67</w:t>
      </w:r>
      <w:r w:rsidRPr="00B952C0">
        <w:rPr>
          <w:rFonts w:ascii="仿宋" w:eastAsia="仿宋" w:hAnsi="仿宋" w:cs="Times New Roman"/>
          <w:kern w:val="0"/>
          <w:lang w:val="zh-CN"/>
        </w:rPr>
        <w:t>公顷。</w:t>
      </w:r>
    </w:p>
    <w:p w14:paraId="3286F7FC" w14:textId="77777777" w:rsidR="00681928" w:rsidRPr="00B952C0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上位规划约束性指标落实。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567"/>
        <w:gridCol w:w="1276"/>
        <w:gridCol w:w="1276"/>
        <w:gridCol w:w="858"/>
      </w:tblGrid>
      <w:tr w:rsidR="00681928" w:rsidRPr="00A53C67" w14:paraId="24B7829E" w14:textId="77777777" w:rsidTr="003D34BF">
        <w:trPr>
          <w:trHeight w:val="40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7EE45935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193F3E38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指标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2A42967A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57939FA2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规划基期年</w:t>
            </w:r>
          </w:p>
          <w:p w14:paraId="555FF778" w14:textId="77777777" w:rsidR="00681928" w:rsidRPr="00A53C67" w:rsidRDefault="00681928" w:rsidP="001018BD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1018BD">
              <w:rPr>
                <w:rStyle w:val="font11"/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年）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5DA5ACD4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规划目标年</w:t>
            </w:r>
          </w:p>
          <w:p w14:paraId="37E432FB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2035</w:t>
            </w: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年）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4884AB96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属性</w:t>
            </w:r>
          </w:p>
        </w:tc>
      </w:tr>
      <w:tr w:rsidR="001018BD" w:rsidRPr="00A53C67" w14:paraId="1191AAB2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ABB2B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B3D4F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户籍人口规模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BCDA1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人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C495E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3460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7779C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4017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47B0F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1018BD" w:rsidRPr="00A53C67" w14:paraId="78D0F10D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E23A4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A0E29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永久基本农田保护面积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E34F5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24A70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E5D56" w14:textId="77777777" w:rsidR="001018BD" w:rsidRDefault="001018BD" w:rsidP="001018BD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387.94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FA45A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1018BD" w:rsidRPr="00A53C67" w14:paraId="3034C70F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C7032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8D402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生态保护红线面积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9F9CA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0998A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F3732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560F0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1018BD" w:rsidRPr="00A53C67" w14:paraId="5F9804D5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54531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C5239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生态公益林保护面积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B446C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CDCD9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11CD0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B494F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1018BD" w:rsidRPr="00A53C67" w14:paraId="732517B5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E54DD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A9B4B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耕地保有量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4737F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FB483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264.61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CFC94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430.54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27E52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1018BD" w:rsidRPr="00A53C67" w14:paraId="616BECC6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B67C6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8FBDB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林地保有量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2F42C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E203C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876.38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79F59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798.50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8F56B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1018BD" w:rsidRPr="00A53C67" w14:paraId="1E77C12F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75F25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9C18C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村庄建设用地规模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2C6B0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D3BEF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38.99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10C2C" w14:textId="77777777" w:rsidR="001018BD" w:rsidRDefault="001018BD" w:rsidP="001018BD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40.75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CF7B5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1018BD" w:rsidRPr="00A53C67" w14:paraId="37673853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AE729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30DDA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村庄公共管理与公共服务设施用地规模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724B6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81CA8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0.08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017E5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2.06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1953E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1018BD" w:rsidRPr="00A53C67" w14:paraId="52A9086A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8A8F7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6B2EB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自来水普及率或农村集中式供水率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ABB22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9F86A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95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BFE63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AC373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1018BD" w:rsidRPr="00A53C67" w14:paraId="1DB17326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4AB3E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A301B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农村生活垃圾无害化处理率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459B1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1CBFE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85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BB04E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782CB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1018BD" w:rsidRPr="00A53C67" w14:paraId="34B4CD7A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B44A2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4CDCC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农村生活污水处理率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7E7DF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72AE8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70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5D868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BC441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1018BD" w:rsidRPr="00A53C67" w14:paraId="3034E6D9" w14:textId="77777777" w:rsidTr="003D34BF">
        <w:trPr>
          <w:trHeight w:val="49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B8F53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61A00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农村黑臭水体消除率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04A58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0CB5E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95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68DDE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D6ABE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1018BD" w:rsidRPr="00A53C67" w14:paraId="54C8CB73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8D4EA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D1D27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农户家庭卫生厕所覆盖率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43CA7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7CA8E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85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27509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0D719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1018BD" w:rsidRPr="00A53C67" w14:paraId="1126DD9F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1CDCC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0EED7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村内道路硬化率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77EE1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B503C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80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1E71D" w14:textId="77777777" w:rsidR="001018BD" w:rsidRDefault="001018BD" w:rsidP="00186D60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C0ACC" w14:textId="77777777" w:rsidR="001018BD" w:rsidRPr="00A53C67" w:rsidRDefault="001018BD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</w:tbl>
    <w:p w14:paraId="1B10E85E" w14:textId="77777777" w:rsidR="00681928" w:rsidRPr="00A53C67" w:rsidRDefault="00681928" w:rsidP="00681928">
      <w:pPr>
        <w:ind w:firstLine="480"/>
        <w:rPr>
          <w:rFonts w:ascii="Times New Roman" w:hAnsi="Times New Roman" w:cs="Times New Roman"/>
        </w:rPr>
      </w:pPr>
    </w:p>
    <w:p w14:paraId="72AF1C30" w14:textId="77777777" w:rsidR="00681928" w:rsidRPr="00993B05" w:rsidRDefault="00681928" w:rsidP="00F60D2B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993B05">
        <w:rPr>
          <w:rFonts w:ascii="黑体" w:eastAsia="黑体" w:hAnsi="黑体" w:cs="Times New Roman"/>
          <w:b/>
          <w:bCs/>
          <w:kern w:val="0"/>
          <w:lang w:val="zh-CN"/>
        </w:rPr>
        <w:t>五、公共服务设施规划和基础设施规划</w:t>
      </w:r>
    </w:p>
    <w:p w14:paraId="42D94690" w14:textId="77777777" w:rsidR="00681928" w:rsidRPr="003253CC" w:rsidRDefault="00681928" w:rsidP="003253CC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3253CC">
        <w:rPr>
          <w:rFonts w:ascii="楷体" w:eastAsia="楷体" w:hAnsi="楷体" w:cs="Times New Roman"/>
          <w:b/>
          <w:bCs/>
          <w:kern w:val="0"/>
          <w:lang w:val="zh-CN"/>
        </w:rPr>
        <w:t>(一) 公共服务设施规划</w:t>
      </w:r>
    </w:p>
    <w:p w14:paraId="2474D629" w14:textId="77777777" w:rsidR="00681928" w:rsidRPr="00A53C67" w:rsidRDefault="00681928" w:rsidP="00681928">
      <w:pPr>
        <w:ind w:firstLine="480"/>
        <w:rPr>
          <w:rFonts w:ascii="Times New Roman" w:hAnsi="Times New Roman" w:cs="Times New Roman"/>
          <w:szCs w:val="32"/>
        </w:rPr>
      </w:pPr>
      <w:r w:rsidRPr="00A53C67">
        <w:rPr>
          <w:rFonts w:ascii="Times New Roman" w:hAnsi="Times New Roman" w:cs="Times New Roman"/>
          <w:szCs w:val="32"/>
        </w:rPr>
        <w:lastRenderedPageBreak/>
        <w:t>（</w:t>
      </w:r>
      <w:r w:rsidRPr="00A53C67">
        <w:rPr>
          <w:rFonts w:ascii="Times New Roman" w:hAnsi="Times New Roman" w:cs="Times New Roman"/>
          <w:szCs w:val="32"/>
        </w:rPr>
        <w:t>1</w:t>
      </w:r>
      <w:r w:rsidRPr="00A53C67">
        <w:rPr>
          <w:rFonts w:ascii="Times New Roman" w:hAnsi="Times New Roman" w:cs="Times New Roman"/>
          <w:szCs w:val="32"/>
        </w:rPr>
        <w:t>）公共服务设施的配置原则和配置标准</w:t>
      </w:r>
    </w:p>
    <w:p w14:paraId="3148A030" w14:textId="77777777" w:rsidR="00681928" w:rsidRPr="00B952C0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根据《海南省美丽乡村建设技术导则（试行）》、《乡村公共服务设施规划标准CECS354：2013》中公共服务配套设施分级配置标准，并依据村庄人口及等级规模和产业特点差异化配置公共服务设施。规模较小的村庄集聚区按服务半径多村共享配套公共设施。</w:t>
      </w:r>
    </w:p>
    <w:p w14:paraId="4A361B3E" w14:textId="77777777" w:rsidR="00681928" w:rsidRPr="00A53C67" w:rsidRDefault="00681928" w:rsidP="00681928">
      <w:pPr>
        <w:ind w:firstLine="480"/>
        <w:rPr>
          <w:rFonts w:ascii="Times New Roman" w:hAnsi="Times New Roman" w:cs="Times New Roman"/>
          <w:szCs w:val="32"/>
        </w:rPr>
      </w:pPr>
      <w:r w:rsidRPr="00A53C67">
        <w:rPr>
          <w:rFonts w:ascii="Times New Roman" w:hAnsi="Times New Roman" w:cs="Times New Roman"/>
          <w:szCs w:val="32"/>
        </w:rPr>
        <w:t>（</w:t>
      </w:r>
      <w:r w:rsidRPr="00A53C67">
        <w:rPr>
          <w:rFonts w:ascii="Times New Roman" w:hAnsi="Times New Roman" w:cs="Times New Roman"/>
          <w:szCs w:val="32"/>
        </w:rPr>
        <w:t>2</w:t>
      </w:r>
      <w:r w:rsidRPr="00A53C67">
        <w:rPr>
          <w:rFonts w:ascii="Times New Roman" w:hAnsi="Times New Roman" w:cs="Times New Roman"/>
          <w:szCs w:val="32"/>
        </w:rPr>
        <w:t>）公共服务设施配置布局</w:t>
      </w:r>
    </w:p>
    <w:p w14:paraId="18BFF025" w14:textId="77777777" w:rsidR="00681928" w:rsidRPr="00B952C0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公共服务设施主要采用集中布局与分散布局相结合形式。实现文化室、小卖部、公厕、垃圾收集点等基础公共服务设施100%覆盖。</w:t>
      </w:r>
    </w:p>
    <w:p w14:paraId="166C6E05" w14:textId="77777777" w:rsidR="00D73E99" w:rsidRPr="003253CC" w:rsidRDefault="005807AA" w:rsidP="003253CC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3253CC">
        <w:rPr>
          <w:rFonts w:ascii="楷体" w:eastAsia="楷体" w:hAnsi="楷体" w:cs="Times New Roman"/>
          <w:b/>
          <w:bCs/>
          <w:kern w:val="0"/>
          <w:lang w:val="zh-CN"/>
        </w:rPr>
        <w:t xml:space="preserve"> </w:t>
      </w:r>
      <w:r w:rsidR="00D73E99" w:rsidRPr="003253CC">
        <w:rPr>
          <w:rFonts w:ascii="楷体" w:eastAsia="楷体" w:hAnsi="楷体" w:cs="Times New Roman"/>
          <w:b/>
          <w:bCs/>
          <w:kern w:val="0"/>
          <w:lang w:val="zh-CN"/>
        </w:rPr>
        <w:t>(二) 市政设施规划</w:t>
      </w:r>
    </w:p>
    <w:p w14:paraId="58C58098" w14:textId="7DDD7064" w:rsidR="00D73E99" w:rsidRPr="00B952C0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1</w:t>
      </w:r>
      <w:r w:rsidR="00993B05">
        <w:rPr>
          <w:rFonts w:ascii="仿宋" w:eastAsia="仿宋" w:hAnsi="仿宋" w:cs="Times New Roman" w:hint="eastAsia"/>
          <w:kern w:val="0"/>
          <w:lang w:val="zh-CN"/>
        </w:rPr>
        <w:t>.</w:t>
      </w:r>
      <w:r w:rsidRPr="00B952C0">
        <w:rPr>
          <w:rFonts w:ascii="仿宋" w:eastAsia="仿宋" w:hAnsi="仿宋" w:cs="Times New Roman"/>
          <w:kern w:val="0"/>
          <w:lang w:val="zh-CN"/>
        </w:rPr>
        <w:t>给水工程规划</w:t>
      </w:r>
    </w:p>
    <w:p w14:paraId="2BE32BB3" w14:textId="77777777" w:rsidR="00D73E99" w:rsidRPr="00B952C0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规划近期采用地下水为给水水源，结合村庄现状供水塔进行用水供给，远期接镇区给水厂，入户率达到100%</w:t>
      </w:r>
      <w:r w:rsidR="0016085D" w:rsidRPr="00B952C0">
        <w:rPr>
          <w:rFonts w:ascii="仿宋" w:eastAsia="仿宋" w:hAnsi="仿宋" w:cs="Times New Roman"/>
          <w:kern w:val="0"/>
          <w:lang w:val="zh-CN"/>
        </w:rPr>
        <w:t>，实现城乡供水一体化。</w:t>
      </w:r>
    </w:p>
    <w:p w14:paraId="45103BC2" w14:textId="68E596D5" w:rsidR="00D73E99" w:rsidRPr="00B952C0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2</w:t>
      </w:r>
      <w:r w:rsidR="00993B05">
        <w:rPr>
          <w:rFonts w:ascii="仿宋" w:eastAsia="仿宋" w:hAnsi="仿宋" w:cs="Times New Roman"/>
          <w:kern w:val="0"/>
          <w:lang w:val="zh-CN"/>
        </w:rPr>
        <w:t>.</w:t>
      </w:r>
      <w:r w:rsidRPr="00B952C0">
        <w:rPr>
          <w:rFonts w:ascii="仿宋" w:eastAsia="仿宋" w:hAnsi="仿宋" w:cs="Times New Roman"/>
          <w:kern w:val="0"/>
          <w:lang w:val="zh-CN"/>
        </w:rPr>
        <w:t>排水工程规划</w:t>
      </w:r>
    </w:p>
    <w:p w14:paraId="1AD15121" w14:textId="173754F5" w:rsidR="00D73E99" w:rsidRPr="00B952C0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根据村庄具体情况，采用雨污分流制；充分利用地形地势条件，依就近靠重力排水的原则，雨水利用道路边沟等收集，就</w:t>
      </w:r>
      <w:r w:rsidR="000D79F5">
        <w:rPr>
          <w:rFonts w:ascii="仿宋" w:eastAsia="仿宋" w:hAnsi="仿宋" w:cs="Times New Roman" w:hint="eastAsia"/>
          <w:kern w:val="0"/>
          <w:lang w:val="zh-CN"/>
        </w:rPr>
        <w:t>近</w:t>
      </w:r>
      <w:r w:rsidRPr="00B952C0">
        <w:rPr>
          <w:rFonts w:ascii="仿宋" w:eastAsia="仿宋" w:hAnsi="仿宋" w:cs="Times New Roman"/>
          <w:kern w:val="0"/>
          <w:lang w:val="zh-CN"/>
        </w:rPr>
        <w:t>排入周边沟渠和自然水体。规划每户建设三级化粪池，经沉淀过滤后排入排水管道</w:t>
      </w:r>
      <w:r w:rsidR="00390722">
        <w:rPr>
          <w:rFonts w:ascii="仿宋" w:eastAsia="仿宋" w:hAnsi="仿宋" w:cs="Times New Roman" w:hint="eastAsia"/>
          <w:kern w:val="0"/>
          <w:lang w:val="zh-CN"/>
        </w:rPr>
        <w:t>，再</w:t>
      </w:r>
      <w:r w:rsidRPr="00B952C0">
        <w:rPr>
          <w:rFonts w:ascii="仿宋" w:eastAsia="仿宋" w:hAnsi="仿宋" w:cs="Times New Roman"/>
          <w:kern w:val="0"/>
          <w:lang w:val="zh-CN"/>
        </w:rPr>
        <w:t>由管道排入生态污水处理设施，经处理后，污水达到《城镇污水处理厂污染物排放标准》(GB18918-2002)一级B类要求，以及《农田灌溉水质标准》（GB5084-2005）要求后排至就近水体或低洼处。</w:t>
      </w:r>
    </w:p>
    <w:p w14:paraId="6B2215AF" w14:textId="689FAA18" w:rsidR="00D73E99" w:rsidRPr="00B952C0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3</w:t>
      </w:r>
      <w:r w:rsidR="00993B05">
        <w:rPr>
          <w:rFonts w:ascii="仿宋" w:eastAsia="仿宋" w:hAnsi="仿宋" w:cs="Times New Roman"/>
          <w:kern w:val="0"/>
          <w:lang w:val="zh-CN"/>
        </w:rPr>
        <w:t>.</w:t>
      </w:r>
      <w:r w:rsidRPr="00B952C0">
        <w:rPr>
          <w:rFonts w:ascii="仿宋" w:eastAsia="仿宋" w:hAnsi="仿宋" w:cs="Times New Roman"/>
          <w:kern w:val="0"/>
          <w:lang w:val="zh-CN"/>
        </w:rPr>
        <w:t>电力工程规划</w:t>
      </w:r>
    </w:p>
    <w:p w14:paraId="15A6CB58" w14:textId="77777777" w:rsidR="00D73E99" w:rsidRPr="00B952C0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规划电源引自</w:t>
      </w:r>
      <w:r w:rsidR="005807AA" w:rsidRPr="00B952C0">
        <w:rPr>
          <w:rFonts w:ascii="仿宋" w:eastAsia="仿宋" w:hAnsi="仿宋" w:cs="Times New Roman" w:hint="eastAsia"/>
          <w:kern w:val="0"/>
          <w:lang w:val="zh-CN"/>
        </w:rPr>
        <w:t>110</w:t>
      </w:r>
      <w:r w:rsidRPr="00B952C0">
        <w:rPr>
          <w:rFonts w:ascii="仿宋" w:eastAsia="仿宋" w:hAnsi="仿宋" w:cs="Times New Roman"/>
          <w:kern w:val="0"/>
          <w:lang w:val="zh-CN"/>
        </w:rPr>
        <w:t>KV</w:t>
      </w:r>
      <w:r w:rsidR="005807AA" w:rsidRPr="00B952C0">
        <w:rPr>
          <w:rFonts w:ascii="仿宋" w:eastAsia="仿宋" w:hAnsi="仿宋" w:cs="Times New Roman" w:hint="eastAsia"/>
          <w:kern w:val="0"/>
          <w:lang w:val="zh-CN"/>
        </w:rPr>
        <w:t>苍英</w:t>
      </w:r>
      <w:r w:rsidRPr="00B952C0">
        <w:rPr>
          <w:rFonts w:ascii="仿宋" w:eastAsia="仿宋" w:hAnsi="仿宋" w:cs="Times New Roman"/>
          <w:kern w:val="0"/>
          <w:lang w:val="zh-CN"/>
        </w:rPr>
        <w:t>变电站，通过变压器输送至各个自然村的用电户。规划在现有电力线路基础上，对沿道路电线杆的线路进行梳理，整治乱拉电力线路，消除安全隐患。</w:t>
      </w:r>
    </w:p>
    <w:p w14:paraId="3AD3B0AE" w14:textId="428EE271" w:rsidR="00D73E99" w:rsidRPr="00B952C0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4</w:t>
      </w:r>
      <w:r w:rsidR="00993B05">
        <w:rPr>
          <w:rFonts w:ascii="仿宋" w:eastAsia="仿宋" w:hAnsi="仿宋" w:cs="Times New Roman" w:hint="eastAsia"/>
          <w:kern w:val="0"/>
          <w:lang w:val="zh-CN"/>
        </w:rPr>
        <w:t>.</w:t>
      </w:r>
      <w:r w:rsidRPr="00B952C0">
        <w:rPr>
          <w:rFonts w:ascii="仿宋" w:eastAsia="仿宋" w:hAnsi="仿宋" w:cs="Times New Roman"/>
          <w:kern w:val="0"/>
          <w:lang w:val="zh-CN"/>
        </w:rPr>
        <w:t>电信工程规划</w:t>
      </w:r>
    </w:p>
    <w:p w14:paraId="662DE883" w14:textId="77777777" w:rsidR="00D73E99" w:rsidRPr="00B952C0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B952C0">
        <w:rPr>
          <w:rFonts w:ascii="仿宋" w:eastAsia="仿宋" w:hAnsi="仿宋" w:cs="Times New Roman"/>
          <w:kern w:val="0"/>
          <w:lang w:val="zh-CN"/>
        </w:rPr>
        <w:t>规划通信线路沿主要道路采用架空敷设，规划考虑有广播、有线电视、电话、光纤，村邮政等通信设施，远期实现电信光纤全覆盖、</w:t>
      </w:r>
      <w:r w:rsidR="0016085D" w:rsidRPr="00B952C0">
        <w:rPr>
          <w:rFonts w:ascii="仿宋" w:eastAsia="仿宋" w:hAnsi="仿宋" w:cs="Times New Roman"/>
          <w:kern w:val="0"/>
          <w:lang w:val="zh-CN"/>
        </w:rPr>
        <w:t>5G</w:t>
      </w:r>
      <w:r w:rsidRPr="00B952C0">
        <w:rPr>
          <w:rFonts w:ascii="仿宋" w:eastAsia="仿宋" w:hAnsi="仿宋" w:cs="Times New Roman"/>
          <w:kern w:val="0"/>
          <w:lang w:val="zh-CN"/>
        </w:rPr>
        <w:t>网络全覆盖、公共场所WIFI覆盖。</w:t>
      </w:r>
    </w:p>
    <w:p w14:paraId="0A3DD99C" w14:textId="77777777" w:rsidR="00C20E6A" w:rsidRPr="00C20E6A" w:rsidRDefault="00C20E6A" w:rsidP="00D73E99">
      <w:pPr>
        <w:ind w:firstLine="480"/>
        <w:rPr>
          <w:rFonts w:ascii="Times New Roman" w:hAnsi="Times New Roman" w:cs="Times New Roman"/>
        </w:rPr>
      </w:pPr>
    </w:p>
    <w:sectPr w:rsidR="00C20E6A" w:rsidRPr="00C20E6A" w:rsidSect="00E8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5E51" w14:textId="77777777" w:rsidR="00CA6C44" w:rsidRDefault="00CA6C44" w:rsidP="00B43367">
      <w:pPr>
        <w:spacing w:line="240" w:lineRule="auto"/>
        <w:ind w:firstLine="480"/>
      </w:pPr>
      <w:r>
        <w:separator/>
      </w:r>
    </w:p>
  </w:endnote>
  <w:endnote w:type="continuationSeparator" w:id="0">
    <w:p w14:paraId="574656DC" w14:textId="77777777" w:rsidR="00CA6C44" w:rsidRDefault="00CA6C44" w:rsidP="00B4336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0B85" w14:textId="77777777" w:rsidR="00B43367" w:rsidRDefault="00B43367" w:rsidP="00B43367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D07D" w14:textId="77777777" w:rsidR="00B43367" w:rsidRDefault="00B43367" w:rsidP="00B43367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07A9" w14:textId="77777777" w:rsidR="00B43367" w:rsidRDefault="00B43367" w:rsidP="00B43367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FE5B" w14:textId="77777777" w:rsidR="00CA6C44" w:rsidRDefault="00CA6C44" w:rsidP="00B43367">
      <w:pPr>
        <w:spacing w:line="240" w:lineRule="auto"/>
        <w:ind w:firstLine="480"/>
      </w:pPr>
      <w:r>
        <w:separator/>
      </w:r>
    </w:p>
  </w:footnote>
  <w:footnote w:type="continuationSeparator" w:id="0">
    <w:p w14:paraId="55F6B8C5" w14:textId="77777777" w:rsidR="00CA6C44" w:rsidRDefault="00CA6C44" w:rsidP="00B4336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9DB2" w14:textId="77777777" w:rsidR="00B43367" w:rsidRDefault="00B433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F44A" w14:textId="77777777" w:rsidR="00B43367" w:rsidRDefault="00B433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4BD7" w14:textId="77777777" w:rsidR="00B43367" w:rsidRDefault="00B43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6E23BD"/>
    <w:multiLevelType w:val="singleLevel"/>
    <w:tmpl w:val="CB6E23B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3B0B46FF"/>
    <w:multiLevelType w:val="hybridMultilevel"/>
    <w:tmpl w:val="BBE611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5F3648"/>
    <w:multiLevelType w:val="hybridMultilevel"/>
    <w:tmpl w:val="4D9A92C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A084815"/>
    <w:multiLevelType w:val="hybridMultilevel"/>
    <w:tmpl w:val="374849A4"/>
    <w:lvl w:ilvl="0" w:tplc="0409000D">
      <w:start w:val="1"/>
      <w:numFmt w:val="bullet"/>
      <w:lvlText w:val="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99"/>
    <w:rsid w:val="00001C5A"/>
    <w:rsid w:val="00027881"/>
    <w:rsid w:val="00075643"/>
    <w:rsid w:val="000D79F5"/>
    <w:rsid w:val="001018BD"/>
    <w:rsid w:val="00103CCE"/>
    <w:rsid w:val="0016085D"/>
    <w:rsid w:val="001A01F1"/>
    <w:rsid w:val="001B1567"/>
    <w:rsid w:val="001E1ADA"/>
    <w:rsid w:val="00201CFE"/>
    <w:rsid w:val="00261BFE"/>
    <w:rsid w:val="00276B40"/>
    <w:rsid w:val="002F6034"/>
    <w:rsid w:val="003131B9"/>
    <w:rsid w:val="0031766D"/>
    <w:rsid w:val="003253CC"/>
    <w:rsid w:val="00334B9D"/>
    <w:rsid w:val="00342CC6"/>
    <w:rsid w:val="0036019A"/>
    <w:rsid w:val="00390722"/>
    <w:rsid w:val="00396CCB"/>
    <w:rsid w:val="003A1F50"/>
    <w:rsid w:val="003A6108"/>
    <w:rsid w:val="003B1D5C"/>
    <w:rsid w:val="003D681F"/>
    <w:rsid w:val="003E1401"/>
    <w:rsid w:val="0042582E"/>
    <w:rsid w:val="004505B6"/>
    <w:rsid w:val="00495CB6"/>
    <w:rsid w:val="004D5C0C"/>
    <w:rsid w:val="004D5CAE"/>
    <w:rsid w:val="005162C8"/>
    <w:rsid w:val="00570849"/>
    <w:rsid w:val="005807AA"/>
    <w:rsid w:val="00602FFF"/>
    <w:rsid w:val="006267D8"/>
    <w:rsid w:val="00666A81"/>
    <w:rsid w:val="00681928"/>
    <w:rsid w:val="00691A29"/>
    <w:rsid w:val="006B7296"/>
    <w:rsid w:val="006D2B96"/>
    <w:rsid w:val="006D5434"/>
    <w:rsid w:val="00725CA0"/>
    <w:rsid w:val="00791C61"/>
    <w:rsid w:val="007B5F0A"/>
    <w:rsid w:val="007F1133"/>
    <w:rsid w:val="00812F7C"/>
    <w:rsid w:val="0084122A"/>
    <w:rsid w:val="00846732"/>
    <w:rsid w:val="008853FD"/>
    <w:rsid w:val="008978F3"/>
    <w:rsid w:val="008A406D"/>
    <w:rsid w:val="008B7419"/>
    <w:rsid w:val="00911587"/>
    <w:rsid w:val="0091664F"/>
    <w:rsid w:val="00982990"/>
    <w:rsid w:val="00993B05"/>
    <w:rsid w:val="009A486C"/>
    <w:rsid w:val="009B48BE"/>
    <w:rsid w:val="009F70B8"/>
    <w:rsid w:val="00A53C67"/>
    <w:rsid w:val="00AE4845"/>
    <w:rsid w:val="00AE7951"/>
    <w:rsid w:val="00B1711C"/>
    <w:rsid w:val="00B24DF2"/>
    <w:rsid w:val="00B412BC"/>
    <w:rsid w:val="00B43367"/>
    <w:rsid w:val="00B551E6"/>
    <w:rsid w:val="00B73492"/>
    <w:rsid w:val="00B84C4B"/>
    <w:rsid w:val="00B952C0"/>
    <w:rsid w:val="00C20E6A"/>
    <w:rsid w:val="00C23EFC"/>
    <w:rsid w:val="00CA6C44"/>
    <w:rsid w:val="00CB7F1A"/>
    <w:rsid w:val="00D173BF"/>
    <w:rsid w:val="00D3507F"/>
    <w:rsid w:val="00D73E99"/>
    <w:rsid w:val="00D75A82"/>
    <w:rsid w:val="00D950DB"/>
    <w:rsid w:val="00D95340"/>
    <w:rsid w:val="00DB2FDE"/>
    <w:rsid w:val="00DB3EA8"/>
    <w:rsid w:val="00DC48AB"/>
    <w:rsid w:val="00E85014"/>
    <w:rsid w:val="00E85E47"/>
    <w:rsid w:val="00EB22F1"/>
    <w:rsid w:val="00F0338C"/>
    <w:rsid w:val="00F60D2B"/>
    <w:rsid w:val="00F81FBD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016B6"/>
  <w15:docId w15:val="{1E23481A-7BB3-491F-8786-74BBE60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E99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7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3E9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D73E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73E99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unhideWhenUsed/>
    <w:qFormat/>
    <w:rsid w:val="00E85E47"/>
    <w:pPr>
      <w:ind w:firstLine="420"/>
    </w:pPr>
    <w:rPr>
      <w:rFonts w:eastAsia="黑体"/>
      <w:szCs w:val="24"/>
    </w:rPr>
  </w:style>
  <w:style w:type="character" w:customStyle="1" w:styleId="font11">
    <w:name w:val="font11"/>
    <w:basedOn w:val="a0"/>
    <w:qFormat/>
    <w:rsid w:val="006267D8"/>
    <w:rPr>
      <w:rFonts w:ascii="微软雅黑" w:eastAsia="微软雅黑" w:hAnsi="微软雅黑" w:cs="微软雅黑"/>
      <w:b/>
      <w:color w:val="000000"/>
      <w:sz w:val="36"/>
      <w:szCs w:val="36"/>
      <w:u w:val="none"/>
    </w:rPr>
  </w:style>
  <w:style w:type="paragraph" w:styleId="a6">
    <w:name w:val="header"/>
    <w:basedOn w:val="a"/>
    <w:link w:val="a7"/>
    <w:qFormat/>
    <w:rsid w:val="00D953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黑体"/>
      <w:sz w:val="18"/>
      <w:szCs w:val="24"/>
    </w:rPr>
  </w:style>
  <w:style w:type="character" w:customStyle="1" w:styleId="a7">
    <w:name w:val="页眉 字符"/>
    <w:basedOn w:val="a0"/>
    <w:link w:val="a6"/>
    <w:rsid w:val="00D95340"/>
    <w:rPr>
      <w:rFonts w:eastAsia="黑体"/>
      <w:sz w:val="18"/>
      <w:szCs w:val="24"/>
    </w:rPr>
  </w:style>
  <w:style w:type="paragraph" w:styleId="a8">
    <w:name w:val="Normal (Web)"/>
    <w:basedOn w:val="a"/>
    <w:uiPriority w:val="99"/>
    <w:semiHidden/>
    <w:unhideWhenUsed/>
    <w:rsid w:val="00B1711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9">
    <w:name w:val="footer"/>
    <w:basedOn w:val="a"/>
    <w:link w:val="aa"/>
    <w:uiPriority w:val="99"/>
    <w:unhideWhenUsed/>
    <w:rsid w:val="00B433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43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293</Words>
  <Characters>1675</Characters>
  <Application>Microsoft Office Word</Application>
  <DocSecurity>0</DocSecurity>
  <Lines>13</Lines>
  <Paragraphs>3</Paragraphs>
  <ScaleCrop>false</ScaleCrop>
  <Company>微软中国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小雪 郑</cp:lastModifiedBy>
  <cp:revision>12</cp:revision>
  <dcterms:created xsi:type="dcterms:W3CDTF">2021-05-14T04:19:00Z</dcterms:created>
  <dcterms:modified xsi:type="dcterms:W3CDTF">2022-02-16T05:37:00Z</dcterms:modified>
</cp:coreProperties>
</file>