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2F17E7">
      <w:pPr>
        <w:spacing w:line="578" w:lineRule="exact"/>
        <w:jc w:val="center"/>
        <w:rPr>
          <w:rFonts w:hint="eastAsia" w:ascii="宋体" w:hAnsi="宋体" w:eastAsia="宋体"/>
          <w:b/>
          <w:bCs/>
          <w:color w:val="000000"/>
          <w:sz w:val="44"/>
          <w:szCs w:val="44"/>
        </w:rPr>
      </w:pPr>
      <w:r>
        <w:rPr>
          <w:rFonts w:hint="eastAsia" w:ascii="宋体" w:hAnsi="宋体" w:eastAsia="宋体"/>
          <w:b/>
          <w:bCs/>
          <w:color w:val="000000"/>
          <w:sz w:val="44"/>
          <w:szCs w:val="44"/>
        </w:rPr>
        <w:t>财政支出项目绩效评价报告</w:t>
      </w:r>
    </w:p>
    <w:p w14:paraId="71D43C1B">
      <w:pPr>
        <w:spacing w:line="578" w:lineRule="exact"/>
        <w:jc w:val="center"/>
        <w:outlineLvl w:val="0"/>
        <w:rPr>
          <w:rFonts w:hint="eastAsia" w:ascii="楷体_GB2312" w:eastAsia="楷体_GB2312"/>
          <w:color w:val="000000"/>
        </w:rPr>
      </w:pPr>
      <w:r>
        <w:rPr>
          <w:rFonts w:hint="eastAsia" w:ascii="楷体_GB2312" w:eastAsia="楷体_GB2312"/>
          <w:color w:val="000000"/>
        </w:rPr>
        <w:t>（参考提纲）</w:t>
      </w:r>
    </w:p>
    <w:p w14:paraId="0E454CE0">
      <w:pPr>
        <w:spacing w:line="578" w:lineRule="exact"/>
        <w:ind w:firstLine="640" w:firstLineChars="200"/>
        <w:outlineLvl w:val="0"/>
        <w:rPr>
          <w:rFonts w:hint="eastAsia" w:hAnsi="宋体"/>
          <w:bCs/>
          <w:color w:val="000000"/>
        </w:rPr>
      </w:pPr>
      <w:r>
        <w:rPr>
          <w:rFonts w:hint="eastAsia" w:hAnsi="宋体"/>
          <w:bCs/>
          <w:color w:val="000000"/>
        </w:rPr>
        <w:t>一、项目概况</w:t>
      </w:r>
    </w:p>
    <w:p w14:paraId="4B63CC28">
      <w:pPr>
        <w:spacing w:line="578" w:lineRule="exact"/>
        <w:ind w:firstLine="640" w:firstLineChars="200"/>
        <w:outlineLvl w:val="0"/>
        <w:rPr>
          <w:color w:val="000000"/>
        </w:rPr>
      </w:pPr>
      <w:r>
        <w:rPr>
          <w:rFonts w:hint="eastAsia"/>
          <w:color w:val="000000"/>
        </w:rPr>
        <w:t>（一）项目单位基本情况。</w:t>
      </w:r>
    </w:p>
    <w:p w14:paraId="6E427738">
      <w:pPr>
        <w:spacing w:line="578" w:lineRule="exact"/>
        <w:ind w:firstLine="640" w:firstLineChars="200"/>
        <w:outlineLvl w:val="0"/>
        <w:rPr>
          <w:rFonts w:hint="eastAsia"/>
          <w:color w:val="FF0000"/>
        </w:rPr>
      </w:pPr>
      <w:r>
        <w:rPr>
          <w:rFonts w:hint="eastAsia" w:hAnsi="宋体"/>
          <w:bCs/>
          <w:color w:val="FF0000"/>
        </w:rPr>
        <w:t>海口市</w:t>
      </w:r>
      <w:r>
        <w:rPr>
          <w:rFonts w:hint="eastAsia" w:hAnsi="宋体"/>
          <w:bCs/>
          <w:color w:val="FF0000"/>
          <w:lang w:val="en-US" w:eastAsia="zh-CN"/>
        </w:rPr>
        <w:t>龙华区少史巷改造提升项目</w:t>
      </w:r>
      <w:r>
        <w:rPr>
          <w:rFonts w:hint="eastAsia" w:hAnsi="宋体"/>
          <w:bCs/>
          <w:color w:val="FF0000"/>
        </w:rPr>
        <w:t>属于龙华区政府2024年政府投资项目，同时属于2025年续建项目，项目资金来源为区级财政资金，项目预算批复总投资为</w:t>
      </w:r>
      <w:r>
        <w:rPr>
          <w:rFonts w:hint="eastAsia" w:hAnsi="宋体"/>
          <w:bCs/>
          <w:color w:val="FF0000"/>
          <w:lang w:val="en-US" w:eastAsia="zh-CN"/>
        </w:rPr>
        <w:t>1792.57</w:t>
      </w:r>
      <w:r>
        <w:rPr>
          <w:rFonts w:hint="eastAsia" w:hAnsi="宋体"/>
          <w:bCs/>
          <w:color w:val="FF0000"/>
        </w:rPr>
        <w:t>万元。</w:t>
      </w:r>
    </w:p>
    <w:p w14:paraId="2015AD47">
      <w:pPr>
        <w:spacing w:line="578" w:lineRule="exact"/>
        <w:ind w:firstLine="640" w:firstLineChars="200"/>
        <w:outlineLvl w:val="0"/>
        <w:rPr>
          <w:color w:val="000000"/>
        </w:rPr>
      </w:pPr>
      <w:r>
        <w:rPr>
          <w:rFonts w:hint="eastAsia"/>
          <w:color w:val="000000"/>
        </w:rPr>
        <w:t>（二）项目基本性质、用途和主要内容、涉及范围。</w:t>
      </w:r>
    </w:p>
    <w:p w14:paraId="3FED2A60">
      <w:pPr>
        <w:spacing w:line="578" w:lineRule="exact"/>
        <w:ind w:firstLine="640" w:firstLineChars="200"/>
        <w:outlineLvl w:val="0"/>
        <w:rPr>
          <w:rFonts w:hint="eastAsia" w:hAnsi="宋体"/>
          <w:bCs/>
          <w:color w:val="FF0000"/>
        </w:rPr>
      </w:pPr>
      <w:r>
        <w:rPr>
          <w:rFonts w:hint="eastAsia" w:hAnsi="宋体"/>
          <w:bCs/>
          <w:color w:val="FF0000"/>
        </w:rPr>
        <w:t>海口市骑楼老街夜游经济提升项目（一期）属于龙华区政府2024年政府投资项目，同时属于2025年续建项目，项目资金来源为区级财政资金，项目位于</w:t>
      </w:r>
      <w:r>
        <w:rPr>
          <w:rFonts w:hint="eastAsia" w:hAnsi="宋体"/>
          <w:bCs/>
          <w:color w:val="FF0000"/>
          <w:lang w:val="en-US" w:eastAsia="zh-CN"/>
        </w:rPr>
        <w:t>海口市龙华区大兴西路（少史巷）</w:t>
      </w:r>
      <w:r>
        <w:rPr>
          <w:rFonts w:hint="eastAsia" w:hAnsi="宋体"/>
          <w:bCs/>
          <w:color w:val="FF0000"/>
        </w:rPr>
        <w:t xml:space="preserve">。主要建设内容:建筑装饰工程、给排水工程、电气工程、配套市政工程。具体建设规模:本项目为历史文化建筑保护改造项目，改造涉及少史巷103栋建筑外立面改造，其中包含10栋一般不可移动文物建筑，以及1栋三类历史建筑。少史巷总长约295米，宽约6米。改造建筑外立面 7600 </w:t>
      </w:r>
      <w:r>
        <w:rPr>
          <w:rFonts w:hint="eastAsia" w:hAnsi="宋体"/>
          <w:bCs/>
          <w:color w:val="FF0000"/>
          <w:lang w:val="en-US" w:eastAsia="zh-CN"/>
        </w:rPr>
        <w:t>㎡</w:t>
      </w:r>
      <w:r>
        <w:rPr>
          <w:rFonts w:hint="eastAsia" w:hAnsi="宋体"/>
          <w:bCs/>
          <w:color w:val="FF0000"/>
        </w:rPr>
        <w:t xml:space="preserve">，道路铺装 360 </w:t>
      </w:r>
      <w:r>
        <w:rPr>
          <w:rFonts w:hint="eastAsia" w:hAnsi="宋体"/>
          <w:bCs/>
          <w:color w:val="FF0000"/>
          <w:lang w:val="en-US" w:eastAsia="zh-CN"/>
        </w:rPr>
        <w:t>㎡</w:t>
      </w:r>
      <w:r>
        <w:rPr>
          <w:rFonts w:hint="eastAsia" w:hAnsi="宋体"/>
          <w:bCs/>
          <w:color w:val="FF0000"/>
        </w:rPr>
        <w:t xml:space="preserve">，人行道铺砖 591.04 </w:t>
      </w:r>
      <w:r>
        <w:rPr>
          <w:rFonts w:hint="eastAsia" w:hAnsi="宋体"/>
          <w:bCs/>
          <w:color w:val="FF0000"/>
          <w:lang w:val="en-US" w:eastAsia="zh-CN"/>
        </w:rPr>
        <w:t>㎡</w:t>
      </w:r>
      <w:r>
        <w:rPr>
          <w:rFonts w:hint="eastAsia" w:hAnsi="宋体"/>
          <w:bCs/>
          <w:color w:val="FF0000"/>
        </w:rPr>
        <w:t>公共厕所改造建筑面积139.56</w:t>
      </w:r>
      <w:r>
        <w:rPr>
          <w:rFonts w:hint="eastAsia" w:hAnsi="宋体"/>
          <w:bCs/>
          <w:color w:val="FF0000"/>
          <w:lang w:val="en-US" w:eastAsia="zh-CN"/>
        </w:rPr>
        <w:t>㎡</w:t>
      </w:r>
      <w:r>
        <w:rPr>
          <w:rFonts w:hint="eastAsia" w:hAnsi="宋体"/>
          <w:bCs/>
          <w:color w:val="FF0000"/>
        </w:rPr>
        <w:t>,设置垃圾收集点，改造电力、通信管线，增设道路照明灯20盏，新增文旅打卡点7个。</w:t>
      </w:r>
    </w:p>
    <w:p w14:paraId="5F0432A1">
      <w:pPr>
        <w:tabs>
          <w:tab w:val="right" w:pos="8204"/>
        </w:tabs>
        <w:spacing w:line="578" w:lineRule="exact"/>
        <w:ind w:firstLine="640" w:firstLineChars="200"/>
        <w:outlineLvl w:val="0"/>
        <w:rPr>
          <w:color w:val="000000"/>
        </w:rPr>
      </w:pPr>
      <w:r>
        <w:rPr>
          <w:rFonts w:hint="eastAsia"/>
          <w:color w:val="000000"/>
        </w:rPr>
        <w:t>（三）跨年度项目的预期总目标及阶段性目标。</w:t>
      </w:r>
    </w:p>
    <w:p w14:paraId="3E70EE71">
      <w:pPr>
        <w:tabs>
          <w:tab w:val="right" w:pos="8204"/>
        </w:tabs>
        <w:spacing w:line="578" w:lineRule="exact"/>
        <w:ind w:firstLine="640" w:firstLineChars="200"/>
        <w:outlineLvl w:val="0"/>
        <w:rPr>
          <w:rFonts w:hint="eastAsia"/>
          <w:color w:val="000000"/>
        </w:rPr>
      </w:pPr>
      <w:r>
        <w:rPr>
          <w:rFonts w:hint="eastAsia"/>
          <w:color w:val="FF0000"/>
        </w:rPr>
        <w:t>项目2024年度建设目标为完工，2025年度建设目标为</w:t>
      </w:r>
      <w:r>
        <w:rPr>
          <w:rFonts w:hint="eastAsia"/>
          <w:bCs/>
          <w:color w:val="FF0000"/>
          <w:szCs w:val="32"/>
        </w:rPr>
        <w:t>完成项目竣工结算各项尾款支付</w:t>
      </w:r>
      <w:r>
        <w:rPr>
          <w:rFonts w:hint="eastAsia"/>
          <w:color w:val="FF0000"/>
        </w:rPr>
        <w:t>。</w:t>
      </w:r>
      <w:r>
        <w:rPr>
          <w:rFonts w:hint="eastAsia"/>
          <w:color w:val="000000"/>
        </w:rPr>
        <w:tab/>
      </w:r>
    </w:p>
    <w:p w14:paraId="051607F5">
      <w:pPr>
        <w:spacing w:line="578" w:lineRule="exact"/>
        <w:outlineLvl w:val="0"/>
        <w:rPr>
          <w:rFonts w:hint="eastAsia"/>
          <w:bCs/>
          <w:color w:val="000000"/>
        </w:rPr>
      </w:pPr>
      <w:r>
        <w:rPr>
          <w:rFonts w:hint="eastAsia"/>
          <w:color w:val="000000"/>
        </w:rPr>
        <w:t xml:space="preserve">    二、</w:t>
      </w:r>
      <w:r>
        <w:rPr>
          <w:rFonts w:hint="eastAsia"/>
          <w:bCs/>
          <w:color w:val="000000"/>
        </w:rPr>
        <w:t>项目资金使用及管理情况</w:t>
      </w:r>
    </w:p>
    <w:p w14:paraId="5F4EFDF8">
      <w:pPr>
        <w:spacing w:line="578" w:lineRule="exact"/>
        <w:ind w:firstLine="640" w:firstLineChars="200"/>
        <w:rPr>
          <w:szCs w:val="32"/>
        </w:rPr>
      </w:pPr>
      <w:r>
        <w:rPr>
          <w:rFonts w:hint="eastAsia"/>
          <w:szCs w:val="32"/>
        </w:rPr>
        <w:t>（一）项目资金到位情况分析</w:t>
      </w:r>
      <w:r>
        <w:rPr>
          <w:rFonts w:hint="eastAsia"/>
          <w:bCs/>
          <w:color w:val="000000"/>
        </w:rPr>
        <w:t>（包括财政资金、自筹资金等）</w:t>
      </w:r>
      <w:r>
        <w:rPr>
          <w:rFonts w:hint="eastAsia"/>
          <w:szCs w:val="32"/>
        </w:rPr>
        <w:t>。</w:t>
      </w:r>
    </w:p>
    <w:p w14:paraId="5E4AEF24">
      <w:pPr>
        <w:spacing w:line="578" w:lineRule="exact"/>
        <w:ind w:firstLine="640" w:firstLineChars="200"/>
        <w:rPr>
          <w:rFonts w:hint="eastAsia"/>
          <w:color w:val="FF0000"/>
          <w:szCs w:val="32"/>
        </w:rPr>
      </w:pPr>
      <w:r>
        <w:rPr>
          <w:rFonts w:hint="eastAsia"/>
          <w:color w:val="FF0000"/>
          <w:szCs w:val="32"/>
        </w:rPr>
        <w:t>2024年度区级财政安排资金</w:t>
      </w:r>
      <w:r>
        <w:rPr>
          <w:rFonts w:hint="eastAsia"/>
          <w:color w:val="FF0000"/>
          <w:szCs w:val="32"/>
          <w:lang w:val="en-US" w:eastAsia="zh-CN"/>
        </w:rPr>
        <w:t>8</w:t>
      </w:r>
      <w:r>
        <w:rPr>
          <w:rFonts w:hint="eastAsia"/>
          <w:color w:val="FF0000"/>
          <w:szCs w:val="32"/>
        </w:rPr>
        <w:t>00万元，202</w:t>
      </w:r>
      <w:r>
        <w:rPr>
          <w:rFonts w:hint="eastAsia"/>
          <w:color w:val="FF0000"/>
          <w:szCs w:val="32"/>
          <w:lang w:val="en-US" w:eastAsia="zh-CN"/>
        </w:rPr>
        <w:t>5</w:t>
      </w:r>
      <w:r>
        <w:rPr>
          <w:rFonts w:hint="eastAsia"/>
          <w:color w:val="FF0000"/>
          <w:szCs w:val="32"/>
        </w:rPr>
        <w:t>年度区级财政安排资金</w:t>
      </w:r>
      <w:r>
        <w:rPr>
          <w:rFonts w:hint="eastAsia"/>
          <w:color w:val="FF0000"/>
          <w:szCs w:val="32"/>
          <w:lang w:val="en-US" w:eastAsia="zh-CN"/>
        </w:rPr>
        <w:t>151.4</w:t>
      </w:r>
      <w:r>
        <w:rPr>
          <w:rFonts w:hint="eastAsia"/>
          <w:color w:val="FF0000"/>
          <w:szCs w:val="32"/>
        </w:rPr>
        <w:t>万元。</w:t>
      </w:r>
    </w:p>
    <w:p w14:paraId="1E5F64C2">
      <w:pPr>
        <w:spacing w:line="578" w:lineRule="exact"/>
        <w:ind w:firstLine="640" w:firstLineChars="200"/>
        <w:rPr>
          <w:szCs w:val="32"/>
        </w:rPr>
      </w:pPr>
      <w:r>
        <w:rPr>
          <w:rFonts w:hint="eastAsia"/>
          <w:szCs w:val="32"/>
        </w:rPr>
        <w:t>（二）项目资金使用情况分析</w:t>
      </w:r>
      <w:r>
        <w:rPr>
          <w:rFonts w:hint="eastAsia"/>
          <w:bCs/>
        </w:rPr>
        <w:t>（主要是指财政资金）</w:t>
      </w:r>
      <w:r>
        <w:rPr>
          <w:rFonts w:hint="eastAsia"/>
          <w:szCs w:val="32"/>
        </w:rPr>
        <w:t>。</w:t>
      </w:r>
    </w:p>
    <w:p w14:paraId="05A8423F">
      <w:pPr>
        <w:spacing w:line="578" w:lineRule="exact"/>
        <w:ind w:firstLine="640" w:firstLineChars="200"/>
        <w:rPr>
          <w:rFonts w:hint="eastAsia"/>
          <w:color w:val="FF0000"/>
          <w:szCs w:val="32"/>
        </w:rPr>
      </w:pPr>
      <w:r>
        <w:rPr>
          <w:rFonts w:hint="eastAsia"/>
          <w:color w:val="FF0000"/>
          <w:szCs w:val="32"/>
        </w:rPr>
        <w:t>截止目前，项目已累计支出</w:t>
      </w:r>
      <w:r>
        <w:rPr>
          <w:rFonts w:hint="eastAsia"/>
          <w:color w:val="FF0000"/>
          <w:szCs w:val="32"/>
          <w:lang w:val="en-US" w:eastAsia="zh-CN"/>
        </w:rPr>
        <w:t>949.98</w:t>
      </w:r>
      <w:r>
        <w:rPr>
          <w:rFonts w:hint="eastAsia"/>
          <w:color w:val="FF0000"/>
          <w:szCs w:val="32"/>
        </w:rPr>
        <w:t>万元。</w:t>
      </w:r>
    </w:p>
    <w:p w14:paraId="7991F228">
      <w:pPr>
        <w:spacing w:line="578" w:lineRule="exact"/>
        <w:ind w:firstLine="640" w:firstLineChars="200"/>
        <w:outlineLvl w:val="0"/>
        <w:rPr>
          <w:bCs/>
          <w:color w:val="000000"/>
        </w:rPr>
      </w:pPr>
      <w:r>
        <w:rPr>
          <w:rFonts w:hint="eastAsia"/>
          <w:szCs w:val="32"/>
        </w:rPr>
        <w:t>（三）项目资金管理情况分析</w:t>
      </w:r>
      <w:r>
        <w:rPr>
          <w:rFonts w:hint="eastAsia"/>
          <w:bCs/>
          <w:color w:val="000000"/>
        </w:rPr>
        <w:t>（包括管理制度、办法的制订及执行情况）分析。</w:t>
      </w:r>
    </w:p>
    <w:p w14:paraId="2810A05F">
      <w:pPr>
        <w:spacing w:line="578" w:lineRule="exact"/>
        <w:ind w:firstLine="640" w:firstLineChars="200"/>
        <w:outlineLvl w:val="0"/>
        <w:rPr>
          <w:rFonts w:hint="eastAsia"/>
          <w:b/>
          <w:bCs/>
          <w:color w:val="FF0000"/>
        </w:rPr>
      </w:pPr>
      <w:r>
        <w:rPr>
          <w:rFonts w:hint="eastAsia"/>
          <w:bCs/>
          <w:color w:val="FF0000"/>
        </w:rPr>
        <w:t>目前，项目整体的预算总投资及资金支出控制在项目预算批复总投资范围内（＜</w:t>
      </w:r>
      <w:r>
        <w:rPr>
          <w:rFonts w:hint="eastAsia" w:hAnsi="宋体"/>
          <w:bCs/>
          <w:color w:val="FF0000"/>
          <w:lang w:val="en-US" w:eastAsia="zh-CN"/>
        </w:rPr>
        <w:t>1792.57</w:t>
      </w:r>
      <w:r>
        <w:rPr>
          <w:rFonts w:hint="eastAsia" w:hAnsi="宋体"/>
          <w:bCs/>
          <w:color w:val="FF0000"/>
        </w:rPr>
        <w:t>万元</w:t>
      </w:r>
      <w:r>
        <w:rPr>
          <w:rFonts w:hint="eastAsia"/>
          <w:bCs/>
          <w:color w:val="FF0000"/>
        </w:rPr>
        <w:t>）。</w:t>
      </w:r>
    </w:p>
    <w:p w14:paraId="2D318A80">
      <w:pPr>
        <w:spacing w:line="578" w:lineRule="exact"/>
        <w:ind w:firstLine="640" w:firstLineChars="200"/>
        <w:rPr>
          <w:rFonts w:hint="eastAsia"/>
          <w:bCs/>
          <w:color w:val="000000"/>
        </w:rPr>
      </w:pPr>
      <w:r>
        <w:rPr>
          <w:rFonts w:hint="eastAsia"/>
          <w:bCs/>
          <w:color w:val="000000"/>
        </w:rPr>
        <w:t>三、项目组织实施情况</w:t>
      </w:r>
    </w:p>
    <w:p w14:paraId="0B7B4AE0">
      <w:pPr>
        <w:spacing w:line="578" w:lineRule="exact"/>
        <w:ind w:firstLine="640" w:firstLineChars="200"/>
        <w:outlineLvl w:val="0"/>
        <w:rPr>
          <w:bCs/>
          <w:color w:val="000000"/>
          <w:szCs w:val="32"/>
        </w:rPr>
      </w:pPr>
      <w:r>
        <w:rPr>
          <w:rFonts w:hint="eastAsia"/>
          <w:bCs/>
          <w:color w:val="000000"/>
          <w:szCs w:val="32"/>
        </w:rPr>
        <w:t>（一）项目组织情况（包括项目招投标情况、调整情况、完成验收等）分析。</w:t>
      </w:r>
    </w:p>
    <w:p w14:paraId="4FD26A37">
      <w:pPr>
        <w:spacing w:line="578" w:lineRule="exact"/>
        <w:ind w:firstLine="640" w:firstLineChars="200"/>
        <w:outlineLvl w:val="0"/>
        <w:rPr>
          <w:rFonts w:hint="eastAsia"/>
          <w:bCs/>
          <w:color w:val="FF0000"/>
          <w:szCs w:val="32"/>
        </w:rPr>
      </w:pPr>
      <w:r>
        <w:rPr>
          <w:rFonts w:hint="eastAsia"/>
          <w:bCs/>
          <w:color w:val="FF0000"/>
          <w:szCs w:val="32"/>
        </w:rPr>
        <w:t>项目2024年已完成工程招标，截止目前，项目整体施工形象进度已完成9</w:t>
      </w:r>
      <w:r>
        <w:rPr>
          <w:rFonts w:hint="eastAsia"/>
          <w:bCs/>
          <w:color w:val="FF0000"/>
          <w:szCs w:val="32"/>
          <w:lang w:val="en-US" w:eastAsia="zh-CN"/>
        </w:rPr>
        <w:t>5</w:t>
      </w:r>
      <w:r>
        <w:rPr>
          <w:rFonts w:hint="eastAsia"/>
          <w:bCs/>
          <w:color w:val="FF0000"/>
          <w:szCs w:val="32"/>
        </w:rPr>
        <w:t>%，正在进行项目施工收尾。计划2025年完成项目竣工结算各项尾款支付 。</w:t>
      </w:r>
    </w:p>
    <w:p w14:paraId="075DB7F4">
      <w:pPr>
        <w:spacing w:line="578" w:lineRule="exact"/>
        <w:ind w:firstLine="640" w:firstLineChars="200"/>
        <w:outlineLvl w:val="0"/>
        <w:rPr>
          <w:bCs/>
          <w:color w:val="000000"/>
          <w:szCs w:val="32"/>
        </w:rPr>
      </w:pPr>
      <w:r>
        <w:rPr>
          <w:rFonts w:hint="eastAsia"/>
          <w:bCs/>
          <w:color w:val="000000"/>
          <w:szCs w:val="32"/>
        </w:rPr>
        <w:t>（二）项目管理情况（包括项目管理制度建设、日常检查监督管理等情况）分析。</w:t>
      </w:r>
    </w:p>
    <w:p w14:paraId="1DE71113">
      <w:pPr>
        <w:spacing w:line="578" w:lineRule="exact"/>
        <w:ind w:firstLine="640" w:firstLineChars="200"/>
        <w:outlineLvl w:val="0"/>
        <w:rPr>
          <w:rFonts w:hint="eastAsia"/>
          <w:bCs/>
          <w:color w:val="FF0000"/>
          <w:szCs w:val="32"/>
        </w:rPr>
      </w:pPr>
      <w:r>
        <w:rPr>
          <w:rFonts w:hint="eastAsia"/>
          <w:bCs/>
          <w:color w:val="FF0000"/>
          <w:szCs w:val="32"/>
        </w:rPr>
        <w:t>本项目管理制度体系健全完善，过程监管精准有效，动态管控成效显著，为项目按期完工交付奠定了坚实基础，同时也能为后期同类项目管理提供了有益借鉴。</w:t>
      </w:r>
    </w:p>
    <w:p w14:paraId="27991A76">
      <w:pPr>
        <w:spacing w:line="578" w:lineRule="exact"/>
        <w:ind w:firstLine="640" w:firstLineChars="200"/>
        <w:outlineLvl w:val="0"/>
        <w:rPr>
          <w:rFonts w:hint="eastAsia"/>
          <w:bCs/>
        </w:rPr>
      </w:pPr>
      <w:r>
        <w:rPr>
          <w:rFonts w:hint="eastAsia"/>
          <w:bCs/>
        </w:rPr>
        <w:t>四、项目绩效情况</w:t>
      </w:r>
    </w:p>
    <w:p w14:paraId="3D00BDFC">
      <w:pPr>
        <w:spacing w:line="578" w:lineRule="exact"/>
        <w:ind w:firstLine="640" w:firstLineChars="200"/>
        <w:outlineLvl w:val="0"/>
        <w:rPr>
          <w:rFonts w:hint="eastAsia"/>
          <w:bCs/>
          <w:color w:val="000000"/>
        </w:rPr>
      </w:pPr>
      <w:r>
        <w:rPr>
          <w:rFonts w:hint="eastAsia"/>
          <w:bCs/>
          <w:color w:val="000000"/>
        </w:rPr>
        <w:t>（一）项目绩效目标完成情况分析。</w:t>
      </w:r>
    </w:p>
    <w:p w14:paraId="335D9047">
      <w:pPr>
        <w:spacing w:line="578" w:lineRule="exact"/>
        <w:ind w:firstLine="640" w:firstLineChars="200"/>
        <w:rPr>
          <w:rFonts w:hint="eastAsia"/>
          <w:bCs/>
          <w:color w:val="000000"/>
          <w:szCs w:val="32"/>
        </w:rPr>
      </w:pPr>
      <w:r>
        <w:rPr>
          <w:rFonts w:hint="eastAsia"/>
          <w:bCs/>
          <w:color w:val="000000"/>
          <w:szCs w:val="32"/>
        </w:rPr>
        <w:t>1. 项目的经济性分析。</w:t>
      </w:r>
    </w:p>
    <w:p w14:paraId="65206B4E">
      <w:pPr>
        <w:spacing w:line="578" w:lineRule="exact"/>
        <w:ind w:firstLine="640" w:firstLineChars="200"/>
        <w:rPr>
          <w:szCs w:val="32"/>
        </w:rPr>
      </w:pPr>
      <w:r>
        <w:rPr>
          <w:rFonts w:hint="eastAsia"/>
          <w:szCs w:val="32"/>
        </w:rPr>
        <w:t>（1）项目成本（预算）控制情况；</w:t>
      </w:r>
    </w:p>
    <w:p w14:paraId="150215ED">
      <w:pPr>
        <w:spacing w:line="578" w:lineRule="exact"/>
        <w:ind w:firstLine="640" w:firstLineChars="200"/>
        <w:outlineLvl w:val="0"/>
        <w:rPr>
          <w:rFonts w:hint="eastAsia"/>
          <w:b/>
          <w:bCs/>
          <w:color w:val="FF0000"/>
        </w:rPr>
      </w:pPr>
      <w:r>
        <w:rPr>
          <w:rFonts w:hint="eastAsia"/>
          <w:bCs/>
          <w:color w:val="FF0000"/>
        </w:rPr>
        <w:t>目前，项目整体的预算总投资控制在项目预算批复总投资范围内（＜</w:t>
      </w:r>
      <w:r>
        <w:rPr>
          <w:rFonts w:hint="eastAsia" w:hAnsi="宋体"/>
          <w:bCs/>
          <w:color w:val="FF0000"/>
          <w:lang w:val="en-US" w:eastAsia="zh-CN"/>
        </w:rPr>
        <w:t>1792.57</w:t>
      </w:r>
      <w:r>
        <w:rPr>
          <w:rFonts w:hint="eastAsia" w:hAnsi="宋体"/>
          <w:bCs/>
          <w:color w:val="FF0000"/>
        </w:rPr>
        <w:t>万元</w:t>
      </w:r>
      <w:r>
        <w:rPr>
          <w:rFonts w:hint="eastAsia"/>
          <w:bCs/>
          <w:color w:val="FF0000"/>
        </w:rPr>
        <w:t>）。</w:t>
      </w:r>
    </w:p>
    <w:p w14:paraId="29A25265">
      <w:pPr>
        <w:spacing w:line="578" w:lineRule="exact"/>
        <w:ind w:firstLine="640" w:firstLineChars="200"/>
        <w:rPr>
          <w:szCs w:val="32"/>
        </w:rPr>
      </w:pPr>
      <w:r>
        <w:rPr>
          <w:rFonts w:hint="eastAsia"/>
          <w:szCs w:val="32"/>
        </w:rPr>
        <w:t>（2）项目成本（预算）节约情况。</w:t>
      </w:r>
    </w:p>
    <w:p w14:paraId="08026928">
      <w:pPr>
        <w:tabs>
          <w:tab w:val="left" w:pos="640"/>
        </w:tabs>
        <w:spacing w:line="578" w:lineRule="exact"/>
        <w:ind w:firstLine="640" w:firstLineChars="200"/>
        <w:outlineLvl w:val="0"/>
        <w:rPr>
          <w:bCs/>
          <w:color w:val="FF0000"/>
        </w:rPr>
      </w:pPr>
      <w:r>
        <w:rPr>
          <w:rFonts w:hint="eastAsia"/>
          <w:bCs/>
          <w:color w:val="FF0000"/>
        </w:rPr>
        <w:t>目前，项目工程费和</w:t>
      </w:r>
      <w:r>
        <w:rPr>
          <w:rFonts w:hint="eastAsia" w:hAnsi="宋体"/>
          <w:bCs/>
          <w:color w:val="FF0000"/>
        </w:rPr>
        <w:t>工程其他费</w:t>
      </w:r>
      <w:r>
        <w:rPr>
          <w:rFonts w:hint="eastAsia"/>
          <w:bCs/>
          <w:color w:val="FF0000"/>
        </w:rPr>
        <w:t>的支出均控制在合同总额范围内，各项费用的支出均未超过合同总额。</w:t>
      </w:r>
    </w:p>
    <w:p w14:paraId="02546F19">
      <w:pPr>
        <w:tabs>
          <w:tab w:val="left" w:pos="640"/>
        </w:tabs>
        <w:spacing w:line="578" w:lineRule="exact"/>
        <w:ind w:firstLine="640" w:firstLineChars="200"/>
        <w:outlineLvl w:val="0"/>
        <w:rPr>
          <w:rFonts w:hint="eastAsia"/>
          <w:bCs/>
          <w:color w:val="000000"/>
          <w:szCs w:val="32"/>
        </w:rPr>
      </w:pPr>
      <w:r>
        <w:rPr>
          <w:rFonts w:hint="eastAsia"/>
          <w:bCs/>
          <w:color w:val="000000"/>
          <w:szCs w:val="32"/>
        </w:rPr>
        <w:t>2. 项目的效率性分析。</w:t>
      </w:r>
    </w:p>
    <w:p w14:paraId="2863F8A9">
      <w:pPr>
        <w:spacing w:line="578" w:lineRule="exact"/>
        <w:ind w:firstLine="640" w:firstLineChars="200"/>
        <w:rPr>
          <w:szCs w:val="32"/>
        </w:rPr>
      </w:pPr>
      <w:r>
        <w:rPr>
          <w:rFonts w:hint="eastAsia"/>
          <w:szCs w:val="32"/>
        </w:rPr>
        <w:t>（1）项目的实施进度；</w:t>
      </w:r>
    </w:p>
    <w:p w14:paraId="43B283AF">
      <w:pPr>
        <w:spacing w:line="578" w:lineRule="exact"/>
        <w:ind w:firstLine="640" w:firstLineChars="200"/>
        <w:rPr>
          <w:rFonts w:hint="eastAsia"/>
          <w:color w:val="FF0000"/>
          <w:szCs w:val="32"/>
        </w:rPr>
      </w:pPr>
      <w:r>
        <w:rPr>
          <w:rFonts w:hint="eastAsia"/>
          <w:bCs/>
          <w:color w:val="FF0000"/>
          <w:szCs w:val="32"/>
        </w:rPr>
        <w:t>项目整体施工形象进度已完成</w:t>
      </w:r>
      <w:r>
        <w:rPr>
          <w:rFonts w:hint="eastAsia"/>
          <w:bCs/>
          <w:color w:val="FF0000"/>
          <w:szCs w:val="32"/>
          <w:lang w:val="en-US" w:eastAsia="zh-CN"/>
        </w:rPr>
        <w:t>95</w:t>
      </w:r>
      <w:r>
        <w:rPr>
          <w:rFonts w:hint="eastAsia"/>
          <w:bCs/>
          <w:color w:val="FF0000"/>
          <w:szCs w:val="32"/>
        </w:rPr>
        <w:t>%，正在进行项目施工收尾。</w:t>
      </w:r>
    </w:p>
    <w:p w14:paraId="47F93B96">
      <w:pPr>
        <w:spacing w:line="578" w:lineRule="exact"/>
        <w:ind w:firstLine="640" w:firstLineChars="200"/>
        <w:rPr>
          <w:szCs w:val="32"/>
        </w:rPr>
      </w:pPr>
      <w:r>
        <w:rPr>
          <w:rFonts w:hint="eastAsia"/>
          <w:szCs w:val="32"/>
        </w:rPr>
        <w:t>（2）项目完成质量。</w:t>
      </w:r>
    </w:p>
    <w:p w14:paraId="712A0FE4">
      <w:pPr>
        <w:spacing w:line="578" w:lineRule="exact"/>
        <w:ind w:firstLine="640" w:firstLineChars="200"/>
        <w:rPr>
          <w:rFonts w:hint="eastAsia"/>
          <w:color w:val="FF0000"/>
          <w:szCs w:val="32"/>
        </w:rPr>
      </w:pPr>
      <w:r>
        <w:rPr>
          <w:rFonts w:hint="eastAsia"/>
          <w:color w:val="FF0000"/>
          <w:szCs w:val="32"/>
        </w:rPr>
        <w:t>项目完成质量合格。</w:t>
      </w:r>
    </w:p>
    <w:p w14:paraId="61F2D44F">
      <w:pPr>
        <w:spacing w:line="578" w:lineRule="exact"/>
        <w:ind w:firstLine="640" w:firstLineChars="200"/>
        <w:outlineLvl w:val="0"/>
        <w:rPr>
          <w:rFonts w:hint="eastAsia"/>
          <w:bCs/>
          <w:color w:val="000000"/>
          <w:szCs w:val="32"/>
        </w:rPr>
      </w:pPr>
      <w:r>
        <w:rPr>
          <w:rFonts w:hint="eastAsia"/>
          <w:bCs/>
          <w:color w:val="000000"/>
          <w:szCs w:val="32"/>
        </w:rPr>
        <w:t>3. 项目的</w:t>
      </w:r>
      <w:r>
        <w:rPr>
          <w:rFonts w:hint="eastAsia"/>
          <w:szCs w:val="32"/>
        </w:rPr>
        <w:t>效益性分析</w:t>
      </w:r>
      <w:r>
        <w:rPr>
          <w:rFonts w:hint="eastAsia"/>
          <w:bCs/>
          <w:color w:val="000000"/>
          <w:szCs w:val="32"/>
        </w:rPr>
        <w:t>。</w:t>
      </w:r>
    </w:p>
    <w:p w14:paraId="2DDF46CE">
      <w:pPr>
        <w:spacing w:line="578" w:lineRule="exact"/>
        <w:ind w:firstLine="640" w:firstLineChars="200"/>
        <w:rPr>
          <w:szCs w:val="32"/>
        </w:rPr>
      </w:pPr>
      <w:r>
        <w:rPr>
          <w:rFonts w:hint="eastAsia"/>
          <w:szCs w:val="32"/>
        </w:rPr>
        <w:t>（1）项目预期目标完成程度。</w:t>
      </w:r>
    </w:p>
    <w:p w14:paraId="7F324932">
      <w:pPr>
        <w:spacing w:line="578" w:lineRule="exact"/>
        <w:ind w:firstLine="640" w:firstLineChars="200"/>
        <w:rPr>
          <w:rFonts w:hint="eastAsia"/>
          <w:color w:val="FF0000"/>
          <w:szCs w:val="32"/>
        </w:rPr>
      </w:pPr>
      <w:r>
        <w:rPr>
          <w:rFonts w:hint="eastAsia"/>
          <w:bCs/>
          <w:color w:val="FF0000"/>
          <w:szCs w:val="32"/>
        </w:rPr>
        <w:t>计划2025年完成项目竣工结算各项尾款支付，完成</w:t>
      </w:r>
      <w:r>
        <w:rPr>
          <w:rFonts w:hint="eastAsia"/>
          <w:color w:val="FF0000"/>
          <w:szCs w:val="32"/>
        </w:rPr>
        <w:t>项目预期目标可控。</w:t>
      </w:r>
    </w:p>
    <w:p w14:paraId="2B3A1763">
      <w:pPr>
        <w:spacing w:line="578" w:lineRule="exact"/>
        <w:ind w:firstLine="640" w:firstLineChars="200"/>
        <w:outlineLvl w:val="0"/>
        <w:rPr>
          <w:szCs w:val="32"/>
        </w:rPr>
      </w:pPr>
      <w:r>
        <w:rPr>
          <w:rFonts w:hint="eastAsia"/>
          <w:szCs w:val="32"/>
        </w:rPr>
        <w:t>（2）项目实施对经济和社会的影响。</w:t>
      </w:r>
    </w:p>
    <w:p w14:paraId="241FE6F2">
      <w:pPr>
        <w:spacing w:line="578" w:lineRule="exact"/>
        <w:ind w:firstLine="640" w:firstLineChars="200"/>
        <w:outlineLvl w:val="0"/>
        <w:rPr>
          <w:rFonts w:hint="eastAsia"/>
          <w:color w:val="FF0000"/>
          <w:szCs w:val="32"/>
        </w:rPr>
      </w:pPr>
      <w:r>
        <w:rPr>
          <w:rFonts w:hint="eastAsia"/>
          <w:color w:val="FF0000"/>
          <w:szCs w:val="32"/>
        </w:rPr>
        <w:t>本项目通过对海口市龙华区骑楼老街北门外广场改造提升，通过深度挖掘骑楼老街南洋文化、历史文化、非遗文化等，以对现状广场的改造以文化为核心、以场景为主题引力，通过可消费、可体验、可记忆、可传播、可带走的消费业态，提升骑楼老街文化传播。通过对骑楼老街北门外广场改造提升的实施，塑造景区景观特色、拓展游客活动空间，使骑楼老街街区成为更适合投资、休闲、旅游的极佳场所，进一步促进骑楼老街乃至整个龙华区的社会经济发展。</w:t>
      </w:r>
    </w:p>
    <w:p w14:paraId="759466C0">
      <w:pPr>
        <w:spacing w:line="578" w:lineRule="exact"/>
        <w:ind w:firstLine="640" w:firstLineChars="200"/>
        <w:outlineLvl w:val="0"/>
        <w:rPr>
          <w:rFonts w:hint="eastAsia"/>
          <w:bCs/>
          <w:color w:val="000000"/>
          <w:szCs w:val="32"/>
        </w:rPr>
      </w:pPr>
      <w:r>
        <w:rPr>
          <w:rFonts w:hint="eastAsia"/>
          <w:bCs/>
          <w:color w:val="000000"/>
          <w:szCs w:val="32"/>
        </w:rPr>
        <w:t>4. 项目的可持续性分析。</w:t>
      </w:r>
    </w:p>
    <w:p w14:paraId="5A177BDE">
      <w:pPr>
        <w:spacing w:line="578" w:lineRule="exact"/>
        <w:ind w:firstLine="640" w:firstLineChars="200"/>
        <w:outlineLvl w:val="0"/>
        <w:rPr>
          <w:rFonts w:hint="eastAsia"/>
          <w:bCs/>
          <w:color w:val="FF0000"/>
          <w:szCs w:val="32"/>
        </w:rPr>
      </w:pPr>
      <w:r>
        <w:rPr>
          <w:rFonts w:hint="eastAsia" w:hAnsi="宋体"/>
          <w:bCs/>
          <w:color w:val="FF0000"/>
        </w:rPr>
        <w:t>项目预算批复总投资为</w:t>
      </w:r>
      <w:r>
        <w:rPr>
          <w:rFonts w:hint="eastAsia" w:hAnsi="宋体"/>
          <w:bCs/>
          <w:color w:val="FF0000"/>
          <w:lang w:val="en-US" w:eastAsia="zh-CN"/>
        </w:rPr>
        <w:t>1792.57</w:t>
      </w:r>
      <w:r>
        <w:rPr>
          <w:rFonts w:hint="eastAsia" w:hAnsi="宋体"/>
          <w:bCs/>
          <w:color w:val="FF0000"/>
        </w:rPr>
        <w:t>万元，</w:t>
      </w:r>
      <w:r>
        <w:rPr>
          <w:rFonts w:hint="eastAsia"/>
          <w:color w:val="FF0000"/>
          <w:szCs w:val="32"/>
        </w:rPr>
        <w:t>截止目前，项目已累计支出仅</w:t>
      </w:r>
      <w:r>
        <w:rPr>
          <w:rFonts w:hint="eastAsia"/>
          <w:color w:val="FF0000"/>
          <w:szCs w:val="32"/>
          <w:lang w:val="en-US" w:eastAsia="zh-CN"/>
        </w:rPr>
        <w:t>949.98</w:t>
      </w:r>
      <w:r>
        <w:rPr>
          <w:rFonts w:hint="eastAsia"/>
          <w:color w:val="FF0000"/>
          <w:szCs w:val="32"/>
        </w:rPr>
        <w:t>万元，2025年度区级财政安排资金</w:t>
      </w:r>
      <w:r>
        <w:rPr>
          <w:rFonts w:hint="eastAsia"/>
          <w:color w:val="FF0000"/>
          <w:szCs w:val="32"/>
          <w:lang w:val="en-US" w:eastAsia="zh-CN"/>
        </w:rPr>
        <w:t>151.4</w:t>
      </w:r>
      <w:r>
        <w:rPr>
          <w:rFonts w:hint="eastAsia"/>
          <w:color w:val="FF0000"/>
          <w:szCs w:val="32"/>
        </w:rPr>
        <w:t>万元已支出</w:t>
      </w:r>
      <w:r>
        <w:rPr>
          <w:rFonts w:hint="eastAsia"/>
          <w:color w:val="FF0000"/>
          <w:szCs w:val="32"/>
          <w:lang w:val="en-US" w:eastAsia="zh-CN"/>
        </w:rPr>
        <w:t>128.75万元</w:t>
      </w:r>
      <w:r>
        <w:rPr>
          <w:rFonts w:hint="eastAsia"/>
          <w:color w:val="FF0000"/>
          <w:szCs w:val="32"/>
        </w:rPr>
        <w:t>。</w:t>
      </w:r>
      <w:r>
        <w:rPr>
          <w:rFonts w:hint="eastAsia"/>
          <w:bCs/>
          <w:color w:val="FF0000"/>
          <w:szCs w:val="32"/>
        </w:rPr>
        <w:t>项目计划2025年完成项目竣工结算各项尾款支付</w:t>
      </w:r>
      <w:r>
        <w:rPr>
          <w:rFonts w:hint="eastAsia"/>
          <w:color w:val="FF0000"/>
          <w:szCs w:val="32"/>
        </w:rPr>
        <w:t>，</w:t>
      </w:r>
      <w:r>
        <w:rPr>
          <w:rFonts w:hint="eastAsia"/>
          <w:bCs/>
          <w:color w:val="FF0000"/>
          <w:szCs w:val="32"/>
        </w:rPr>
        <w:t>2025年</w:t>
      </w:r>
      <w:r>
        <w:rPr>
          <w:rFonts w:hint="eastAsia"/>
          <w:color w:val="FF0000"/>
          <w:szCs w:val="32"/>
        </w:rPr>
        <w:t>完成项目竣工结算过后将面临项目资金支出困难的问题</w:t>
      </w:r>
      <w:r>
        <w:rPr>
          <w:rFonts w:hint="eastAsia"/>
          <w:bCs/>
          <w:color w:val="FF0000"/>
          <w:szCs w:val="32"/>
        </w:rPr>
        <w:t>。</w:t>
      </w:r>
    </w:p>
    <w:p w14:paraId="5EF49DF0">
      <w:pPr>
        <w:numPr>
          <w:ilvl w:val="0"/>
          <w:numId w:val="1"/>
        </w:numPr>
        <w:spacing w:line="578" w:lineRule="exact"/>
        <w:ind w:firstLine="640" w:firstLineChars="200"/>
        <w:outlineLvl w:val="0"/>
        <w:rPr>
          <w:rFonts w:hint="eastAsia"/>
          <w:bCs/>
          <w:color w:val="000000"/>
          <w:szCs w:val="32"/>
        </w:rPr>
      </w:pPr>
      <w:r>
        <w:rPr>
          <w:rFonts w:hint="eastAsia"/>
          <w:bCs/>
          <w:color w:val="000000"/>
          <w:szCs w:val="32"/>
        </w:rPr>
        <w:t xml:space="preserve"> 项目</w:t>
      </w:r>
      <w:r>
        <w:rPr>
          <w:rFonts w:hint="eastAsia"/>
          <w:color w:val="000000"/>
        </w:rPr>
        <w:t>预算批复的绩效指标完成</w:t>
      </w:r>
      <w:r>
        <w:rPr>
          <w:rFonts w:hint="eastAsia"/>
          <w:bCs/>
          <w:color w:val="000000"/>
          <w:szCs w:val="32"/>
        </w:rPr>
        <w:t>情况分析</w:t>
      </w:r>
    </w:p>
    <w:p w14:paraId="25393C10">
      <w:pPr>
        <w:spacing w:line="578" w:lineRule="exact"/>
        <w:outlineLvl w:val="0"/>
        <w:rPr>
          <w:rFonts w:hint="eastAsia"/>
          <w:bCs/>
          <w:color w:val="000000"/>
          <w:szCs w:val="32"/>
        </w:rPr>
      </w:pPr>
      <w:r>
        <w:rPr>
          <w:rFonts w:hint="eastAsia"/>
          <w:color w:val="000000"/>
        </w:rPr>
        <w:t xml:space="preserve">    </w:t>
      </w:r>
      <w:r>
        <w:rPr>
          <w:rFonts w:hint="eastAsia" w:hAnsi="宋体"/>
          <w:bCs/>
          <w:color w:val="FF0000"/>
        </w:rPr>
        <w:t>项目预算批复总投资为</w:t>
      </w:r>
      <w:r>
        <w:rPr>
          <w:rFonts w:hint="eastAsia" w:hAnsi="宋体"/>
          <w:bCs/>
          <w:color w:val="FF0000"/>
          <w:lang w:val="en-US" w:eastAsia="zh-CN"/>
        </w:rPr>
        <w:t>1792.57</w:t>
      </w:r>
      <w:r>
        <w:rPr>
          <w:rFonts w:hint="eastAsia" w:hAnsi="宋体"/>
          <w:bCs/>
          <w:color w:val="FF0000"/>
        </w:rPr>
        <w:t>万元（其中，工程费为</w:t>
      </w:r>
      <w:r>
        <w:rPr>
          <w:rFonts w:hint="eastAsia" w:hAnsi="宋体"/>
          <w:bCs/>
          <w:color w:val="FF0000"/>
          <w:lang w:val="en-US" w:eastAsia="zh-CN"/>
        </w:rPr>
        <w:t>1116.91</w:t>
      </w:r>
      <w:r>
        <w:rPr>
          <w:rFonts w:hint="eastAsia" w:hAnsi="宋体"/>
          <w:bCs/>
          <w:color w:val="FF0000"/>
        </w:rPr>
        <w:t>万元，工程其他费为</w:t>
      </w:r>
      <w:r>
        <w:rPr>
          <w:rFonts w:hint="eastAsia" w:hAnsi="宋体"/>
          <w:bCs/>
          <w:color w:val="FF0000"/>
          <w:lang w:val="en-US" w:eastAsia="zh-CN"/>
        </w:rPr>
        <w:t>590.30</w:t>
      </w:r>
      <w:r>
        <w:rPr>
          <w:rFonts w:hint="eastAsia" w:hAnsi="宋体"/>
          <w:bCs/>
          <w:color w:val="FF0000"/>
        </w:rPr>
        <w:t>万元，预备费为</w:t>
      </w:r>
      <w:r>
        <w:rPr>
          <w:rFonts w:hint="eastAsia" w:hAnsi="宋体"/>
          <w:bCs/>
          <w:color w:val="FF0000"/>
          <w:lang w:val="en-US" w:eastAsia="zh-CN"/>
        </w:rPr>
        <w:t>85.36</w:t>
      </w:r>
      <w:r>
        <w:rPr>
          <w:rFonts w:hint="eastAsia" w:hAnsi="宋体"/>
          <w:bCs/>
          <w:color w:val="FF0000"/>
        </w:rPr>
        <w:t>万元）。</w:t>
      </w:r>
      <w:r>
        <w:rPr>
          <w:rFonts w:hint="eastAsia"/>
          <w:color w:val="FF0000"/>
          <w:szCs w:val="32"/>
        </w:rPr>
        <w:t>截止目前，项目已累计支出仅</w:t>
      </w:r>
      <w:r>
        <w:rPr>
          <w:rFonts w:hint="eastAsia"/>
          <w:color w:val="FF0000"/>
          <w:szCs w:val="32"/>
          <w:lang w:val="en-US" w:eastAsia="zh-CN"/>
        </w:rPr>
        <w:t>949.98</w:t>
      </w:r>
      <w:r>
        <w:rPr>
          <w:rFonts w:hint="eastAsia"/>
          <w:color w:val="FF0000"/>
          <w:szCs w:val="32"/>
        </w:rPr>
        <w:t>万元</w:t>
      </w:r>
      <w:r>
        <w:rPr>
          <w:rFonts w:hint="eastAsia"/>
          <w:color w:val="FF0000"/>
        </w:rPr>
        <w:t>（其中，工程费累计支出</w:t>
      </w:r>
      <w:r>
        <w:rPr>
          <w:rFonts w:hint="eastAsia"/>
          <w:color w:val="FF0000"/>
          <w:lang w:val="en-US" w:eastAsia="zh-CN"/>
        </w:rPr>
        <w:t>611.49</w:t>
      </w:r>
      <w:r>
        <w:rPr>
          <w:rFonts w:hint="eastAsia"/>
          <w:color w:val="FF0000"/>
        </w:rPr>
        <w:t>万元，</w:t>
      </w:r>
      <w:r>
        <w:rPr>
          <w:rFonts w:hint="eastAsia"/>
          <w:bCs/>
          <w:color w:val="FF0000"/>
        </w:rPr>
        <w:t>建设工程其他费用累计支出</w:t>
      </w:r>
      <w:r>
        <w:rPr>
          <w:rFonts w:hint="eastAsia"/>
          <w:bCs/>
          <w:color w:val="FF0000"/>
          <w:lang w:val="en-US" w:eastAsia="zh-CN"/>
        </w:rPr>
        <w:t>338.49</w:t>
      </w:r>
      <w:r>
        <w:rPr>
          <w:rFonts w:hint="eastAsia"/>
          <w:bCs/>
          <w:color w:val="FF0000"/>
        </w:rPr>
        <w:t>万元），项目各项费用实际支出均未超过预算批复审定费用。</w:t>
      </w:r>
    </w:p>
    <w:p w14:paraId="64A03A10">
      <w:pPr>
        <w:numPr>
          <w:ilvl w:val="0"/>
          <w:numId w:val="2"/>
        </w:numPr>
        <w:tabs>
          <w:tab w:val="left" w:pos="878"/>
        </w:tabs>
        <w:spacing w:line="578" w:lineRule="exact"/>
        <w:ind w:firstLine="640" w:firstLineChars="200"/>
        <w:outlineLvl w:val="0"/>
        <w:rPr>
          <w:rFonts w:hint="eastAsia"/>
          <w:bCs/>
          <w:color w:val="000000"/>
          <w:szCs w:val="32"/>
        </w:rPr>
      </w:pPr>
      <w:r>
        <w:rPr>
          <w:rFonts w:hint="eastAsia"/>
          <w:bCs/>
          <w:color w:val="000000"/>
          <w:szCs w:val="32"/>
        </w:rPr>
        <w:t>项目绩效目标未完成原因分析。</w:t>
      </w:r>
    </w:p>
    <w:p w14:paraId="56D51059">
      <w:pPr>
        <w:tabs>
          <w:tab w:val="left" w:pos="878"/>
        </w:tabs>
        <w:spacing w:line="578" w:lineRule="exact"/>
        <w:outlineLvl w:val="0"/>
        <w:rPr>
          <w:rFonts w:hint="eastAsia"/>
          <w:bCs/>
          <w:color w:val="000000"/>
          <w:szCs w:val="32"/>
        </w:rPr>
      </w:pPr>
      <w:r>
        <w:rPr>
          <w:rFonts w:hint="eastAsia"/>
          <w:color w:val="000000"/>
        </w:rPr>
        <w:t xml:space="preserve">    </w:t>
      </w:r>
      <w:r>
        <w:rPr>
          <w:rFonts w:hint="eastAsia"/>
          <w:color w:val="FF0000"/>
        </w:rPr>
        <w:t>项目下达资金预算不足，因工程款未能及时支付导致工程完工进度有所滞后</w:t>
      </w:r>
      <w:r>
        <w:rPr>
          <w:rFonts w:hint="eastAsia" w:hAnsi="仿宋_GB2312"/>
          <w:color w:val="FF0000"/>
          <w:szCs w:val="32"/>
        </w:rPr>
        <w:t>。</w:t>
      </w:r>
    </w:p>
    <w:p w14:paraId="04396C5D">
      <w:pPr>
        <w:spacing w:line="578" w:lineRule="exact"/>
        <w:ind w:firstLine="640" w:firstLineChars="200"/>
        <w:outlineLvl w:val="0"/>
        <w:rPr>
          <w:bCs/>
          <w:szCs w:val="32"/>
        </w:rPr>
      </w:pPr>
      <w:r>
        <w:rPr>
          <w:rFonts w:hint="eastAsia"/>
          <w:bCs/>
          <w:szCs w:val="32"/>
        </w:rPr>
        <w:t>五、综合评价情况及评价结论（按附件4格式附相关评分表）。</w:t>
      </w:r>
    </w:p>
    <w:p w14:paraId="47F37FC5">
      <w:pPr>
        <w:spacing w:line="578" w:lineRule="exact"/>
        <w:ind w:firstLine="640" w:firstLineChars="200"/>
        <w:outlineLvl w:val="0"/>
        <w:rPr>
          <w:rFonts w:hint="eastAsia"/>
          <w:color w:val="FF0000"/>
          <w:szCs w:val="32"/>
        </w:rPr>
      </w:pPr>
      <w:r>
        <w:rPr>
          <w:rFonts w:hint="eastAsia"/>
          <w:bCs/>
          <w:color w:val="FF0000"/>
          <w:szCs w:val="32"/>
        </w:rPr>
        <w:t>2025年度争取完成项目绩效目标，但是后续需要区财政对项目剩余资金缺口给予预算支持。</w:t>
      </w:r>
    </w:p>
    <w:p w14:paraId="39F2E6DF">
      <w:pPr>
        <w:spacing w:line="578" w:lineRule="exact"/>
        <w:ind w:firstLine="640" w:firstLineChars="200"/>
        <w:outlineLvl w:val="0"/>
        <w:rPr>
          <w:bCs/>
          <w:szCs w:val="32"/>
        </w:rPr>
      </w:pPr>
      <w:r>
        <w:rPr>
          <w:rFonts w:hint="eastAsia"/>
          <w:bCs/>
          <w:szCs w:val="32"/>
        </w:rPr>
        <w:t>六、主要经验及做法、存在的问题和建议</w:t>
      </w:r>
      <w:r>
        <w:rPr>
          <w:rFonts w:hint="eastAsia"/>
          <w:bCs/>
          <w:color w:val="000000"/>
          <w:szCs w:val="32"/>
        </w:rPr>
        <w:t>（包括资金安排、使用过程中的经验、做法、存在问题、改进措施和有关建议等）</w:t>
      </w:r>
      <w:r>
        <w:rPr>
          <w:rFonts w:hint="eastAsia"/>
          <w:bCs/>
          <w:szCs w:val="32"/>
        </w:rPr>
        <w:t>。</w:t>
      </w:r>
    </w:p>
    <w:p w14:paraId="06C65982">
      <w:pPr>
        <w:spacing w:line="578" w:lineRule="exact"/>
        <w:ind w:firstLine="640" w:firstLineChars="200"/>
        <w:outlineLvl w:val="0"/>
        <w:rPr>
          <w:rFonts w:hint="eastAsia"/>
          <w:bCs/>
          <w:color w:val="FF0000"/>
          <w:szCs w:val="32"/>
        </w:rPr>
      </w:pPr>
      <w:r>
        <w:rPr>
          <w:rFonts w:hint="eastAsia"/>
          <w:bCs/>
          <w:color w:val="FF0000"/>
          <w:szCs w:val="32"/>
        </w:rPr>
        <w:t>建议区财政后续追加项目资金预算，确保项目顺利完成竣工结算和相关费用支出。</w:t>
      </w:r>
      <w:bookmarkStart w:id="0" w:name="_GoBack"/>
      <w:bookmarkEnd w:id="0"/>
    </w:p>
    <w:p w14:paraId="62AF90C8">
      <w:pPr>
        <w:spacing w:line="578" w:lineRule="exact"/>
        <w:ind w:firstLine="640" w:firstLineChars="200"/>
        <w:outlineLvl w:val="0"/>
        <w:rPr>
          <w:rFonts w:hAnsi="宋体"/>
          <w:sz w:val="28"/>
          <w:szCs w:val="28"/>
        </w:rPr>
      </w:pPr>
      <w:r>
        <w:rPr>
          <w:rFonts w:hint="eastAsia"/>
          <w:bCs/>
          <w:szCs w:val="32"/>
        </w:rPr>
        <w:t>七、其他需说明的问题，比如</w:t>
      </w:r>
      <w:r>
        <w:rPr>
          <w:rFonts w:hint="eastAsia"/>
          <w:bCs/>
          <w:color w:val="000000"/>
        </w:rPr>
        <w:t>当年未完工项目后续工作计划等。</w:t>
      </w:r>
    </w:p>
    <w:p w14:paraId="33219EEE">
      <w:pPr>
        <w:spacing w:line="578" w:lineRule="exact"/>
        <w:ind w:firstLine="560" w:firstLineChars="200"/>
        <w:outlineLvl w:val="0"/>
        <w:rPr>
          <w:rFonts w:hint="eastAsia" w:hAnsi="宋体"/>
          <w:color w:val="FF0000"/>
          <w:sz w:val="28"/>
          <w:szCs w:val="28"/>
        </w:rPr>
      </w:pPr>
      <w:r>
        <w:rPr>
          <w:rFonts w:hint="eastAsia" w:hAnsi="宋体"/>
          <w:color w:val="FF0000"/>
          <w:sz w:val="28"/>
          <w:szCs w:val="28"/>
        </w:rPr>
        <w:t>无。</w:t>
      </w:r>
    </w:p>
    <w:sectPr>
      <w:pgSz w:w="11906" w:h="16838"/>
      <w:pgMar w:top="2098" w:right="1474" w:bottom="1985" w:left="1588" w:header="851" w:footer="1588"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2"/>
      <w:numFmt w:val="chineseCounting"/>
      <w:suff w:val="nothing"/>
      <w:lvlText w:val="（%1）"/>
      <w:lvlJc w:val="left"/>
    </w:lvl>
  </w:abstractNum>
  <w:abstractNum w:abstractNumId="1">
    <w:nsid w:val="0053208E"/>
    <w:multiLevelType w:val="singleLevel"/>
    <w:tmpl w:val="0053208E"/>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00143D"/>
    <w:rsid w:val="000B2B11"/>
    <w:rsid w:val="00166809"/>
    <w:rsid w:val="001676F4"/>
    <w:rsid w:val="002A288E"/>
    <w:rsid w:val="002B7B5A"/>
    <w:rsid w:val="00423ACB"/>
    <w:rsid w:val="00482E84"/>
    <w:rsid w:val="00522DDC"/>
    <w:rsid w:val="006C2C47"/>
    <w:rsid w:val="006D2815"/>
    <w:rsid w:val="006F095B"/>
    <w:rsid w:val="00756A37"/>
    <w:rsid w:val="00773575"/>
    <w:rsid w:val="00776961"/>
    <w:rsid w:val="007A5BA4"/>
    <w:rsid w:val="008C31A5"/>
    <w:rsid w:val="008C7C17"/>
    <w:rsid w:val="00AA1761"/>
    <w:rsid w:val="00AD359B"/>
    <w:rsid w:val="00B07E3F"/>
    <w:rsid w:val="00B32BE7"/>
    <w:rsid w:val="00C63DC7"/>
    <w:rsid w:val="00C701E5"/>
    <w:rsid w:val="00D04A67"/>
    <w:rsid w:val="00DD5DA2"/>
    <w:rsid w:val="00E23816"/>
    <w:rsid w:val="00E877C9"/>
    <w:rsid w:val="00E96DFD"/>
    <w:rsid w:val="00FA41B0"/>
    <w:rsid w:val="00FB21FD"/>
    <w:rsid w:val="5B00143D"/>
    <w:rsid w:val="7FFE6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1667</Words>
  <Characters>1795</Characters>
  <Lines>13</Lines>
  <Paragraphs>3</Paragraphs>
  <TotalTime>37</TotalTime>
  <ScaleCrop>false</ScaleCrop>
  <LinksUpToDate>false</LinksUpToDate>
  <CharactersWithSpaces>1814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2025-03-28T05:01:00Z</dcterms:created>
  <dc:creator>忘…记</dc:creator>
  <cp:lastModifiedBy>皮文杰</cp:lastModifiedBy>
  <dcterms:modified xsi:type="dcterms:W3CDTF">2025-03-31T01:34:21Z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AB1CA19DE6714776A54114A4CB5D1E6F_11</vt:lpwstr>
  </property>
  <property fmtid="{D5CDD505-2E9C-101B-9397-08002B2CF9AE}" pid="4" name="KSOTemplateDocerSaveRecord">
    <vt:lpwstr>eyJoZGlkIjoiZjM2YjI5ZTMwOGU1ZjFjN2Q1MjYwYmI0ZGY0ZmQ0NzkiLCJ1c2VySWQiOiIyMzE3NDIyNDcifQ==</vt:lpwstr>
  </property>
</Properties>
</file>