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D2B5C">
      <w:pPr>
        <w:pStyle w:val="2"/>
        <w:ind w:firstLine="158"/>
      </w:pPr>
    </w:p>
    <w:p w14:paraId="2D94587D">
      <w:pPr>
        <w:spacing w:line="560" w:lineRule="exact"/>
        <w:ind w:firstLine="388"/>
        <w:jc w:val="center"/>
        <w:rPr>
          <w:rFonts w:ascii="方正公文小标宋" w:hAnsi="方正公文小标宋" w:eastAsia="方正公文小标宋" w:cs="方正公文小标宋"/>
          <w:b/>
          <w:sz w:val="44"/>
          <w:szCs w:val="36"/>
        </w:rPr>
      </w:pPr>
      <w:r>
        <w:rPr>
          <w:rFonts w:hint="eastAsia" w:ascii="方正公文小标宋" w:hAnsi="方正公文小标宋" w:eastAsia="方正公文小标宋" w:cs="方正公文小标宋"/>
          <w:b/>
          <w:bCs/>
          <w:sz w:val="44"/>
          <w:szCs w:val="36"/>
        </w:rPr>
        <w:t>海口市龙华区个体工商户转型升级为企业奖补资金实施办法</w:t>
      </w:r>
    </w:p>
    <w:p w14:paraId="290B01B6">
      <w:pPr>
        <w:spacing w:after="40"/>
        <w:ind w:firstLine="264"/>
        <w:rPr>
          <w:rFonts w:ascii="Calibri" w:hAnsi="Calibri"/>
          <w:sz w:val="30"/>
          <w:szCs w:val="30"/>
        </w:rPr>
      </w:pPr>
    </w:p>
    <w:p w14:paraId="554DE700">
      <w:pPr>
        <w:spacing w:after="40" w:line="560" w:lineRule="exact"/>
        <w:ind w:firstLine="640" w:firstLineChars="200"/>
        <w:rPr>
          <w:rFonts w:ascii="仿宋" w:hAnsi="仿宋" w:eastAsia="仿宋" w:cs="仿宋"/>
          <w:sz w:val="32"/>
          <w:szCs w:val="32"/>
        </w:rPr>
      </w:pPr>
      <w:r>
        <w:rPr>
          <w:rFonts w:hint="eastAsia" w:ascii="仿宋" w:hAnsi="仿宋" w:eastAsia="仿宋" w:cs="仿宋"/>
          <w:b/>
          <w:bCs/>
          <w:sz w:val="32"/>
          <w:szCs w:val="32"/>
        </w:rPr>
        <w:t>第一条【目的】</w:t>
      </w:r>
      <w:r>
        <w:rPr>
          <w:rFonts w:hint="eastAsia" w:ascii="仿宋" w:hAnsi="仿宋" w:eastAsia="仿宋" w:cs="仿宋"/>
          <w:sz w:val="32"/>
          <w:szCs w:val="32"/>
        </w:rPr>
        <w:t>为全面贯彻落实《中共中央 国务院关于促进民营经济发展壮大的意见》，优化龙华区市场主体结构，推动市场主体高质量发展，根据《促进个体工商户发展条例》等政策法规的要求，进一步支持、鼓励、引导个体工商户转型升级为企业（以下简称“个转企”），海口市龙华区人民政府结合实际，制定本实施办法。</w:t>
      </w:r>
    </w:p>
    <w:p w14:paraId="7DBD99C8">
      <w:pPr>
        <w:spacing w:after="40" w:line="560" w:lineRule="exact"/>
        <w:ind w:firstLine="640" w:firstLineChars="200"/>
        <w:rPr>
          <w:rFonts w:ascii="仿宋" w:hAnsi="仿宋" w:eastAsia="仿宋" w:cs="仿宋"/>
          <w:sz w:val="32"/>
          <w:szCs w:val="32"/>
        </w:rPr>
      </w:pPr>
      <w:r>
        <w:rPr>
          <w:rFonts w:hint="eastAsia" w:ascii="仿宋" w:hAnsi="仿宋" w:eastAsia="仿宋" w:cs="仿宋"/>
          <w:b/>
          <w:bCs/>
          <w:sz w:val="32"/>
          <w:szCs w:val="32"/>
        </w:rPr>
        <w:t>第二条【原则】</w:t>
      </w:r>
      <w:r>
        <w:rPr>
          <w:rFonts w:hint="eastAsia" w:ascii="仿宋" w:hAnsi="仿宋" w:eastAsia="仿宋" w:cs="仿宋"/>
          <w:sz w:val="32"/>
          <w:szCs w:val="32"/>
        </w:rPr>
        <w:t>本办法的实施应遵循依法依规、公开、公平、公正、标准规范、高效便利的原则。</w:t>
      </w:r>
    </w:p>
    <w:p w14:paraId="3022A458">
      <w:pPr>
        <w:spacing w:after="40" w:line="560" w:lineRule="exact"/>
        <w:ind w:firstLine="640" w:firstLineChars="200"/>
        <w:rPr>
          <w:rFonts w:ascii="仿宋" w:hAnsi="仿宋" w:eastAsia="仿宋" w:cs="仿宋"/>
          <w:bCs/>
          <w:sz w:val="32"/>
          <w:szCs w:val="32"/>
        </w:rPr>
      </w:pPr>
      <w:r>
        <w:rPr>
          <w:rFonts w:hint="eastAsia" w:ascii="仿宋" w:hAnsi="仿宋" w:eastAsia="仿宋" w:cs="仿宋"/>
          <w:b/>
          <w:bCs/>
          <w:sz w:val="32"/>
          <w:szCs w:val="32"/>
        </w:rPr>
        <w:t>第三条【定义解释】</w:t>
      </w:r>
      <w:r>
        <w:rPr>
          <w:rFonts w:hint="eastAsia" w:ascii="仿宋" w:hAnsi="仿宋" w:eastAsia="仿宋" w:cs="仿宋"/>
          <w:sz w:val="32"/>
          <w:szCs w:val="32"/>
        </w:rPr>
        <w:t>本办法所称的“个转企”是指个体工商户（以下均简称“原个体工商户”）以现有的生产经营条件为基础</w:t>
      </w:r>
      <w:r>
        <w:rPr>
          <w:rFonts w:hint="eastAsia" w:ascii="仿宋" w:hAnsi="仿宋" w:eastAsia="仿宋" w:cs="仿宋"/>
          <w:bCs/>
          <w:sz w:val="32"/>
          <w:szCs w:val="32"/>
        </w:rPr>
        <w:t>，依照《中华人民共和国公司法》《中华人民共和国合伙企业法》《中华人民共和国个人独资企业法》《海南自由贸易港市场主体登记管理条例》等法律法规，依申请转型升级为住所（或经营场所）注册登记在龙华区的企业（包括个人独资企业、合伙企业、公司制企业，以下简称“转型企业”）。</w:t>
      </w:r>
    </w:p>
    <w:p w14:paraId="26DCE52B">
      <w:pPr>
        <w:spacing w:after="40" w:line="560" w:lineRule="exact"/>
        <w:ind w:firstLine="640" w:firstLineChars="200"/>
        <w:rPr>
          <w:rFonts w:ascii="仿宋" w:hAnsi="仿宋" w:eastAsia="仿宋" w:cs="仿宋"/>
          <w:b/>
          <w:bCs/>
          <w:sz w:val="32"/>
          <w:szCs w:val="32"/>
        </w:rPr>
      </w:pPr>
      <w:r>
        <w:rPr>
          <w:rFonts w:hint="eastAsia" w:ascii="仿宋" w:hAnsi="仿宋" w:eastAsia="仿宋" w:cs="仿宋"/>
          <w:b/>
          <w:bCs/>
          <w:sz w:val="32"/>
          <w:szCs w:val="32"/>
        </w:rPr>
        <w:t>第四条【部门职责】</w:t>
      </w:r>
      <w:r>
        <w:rPr>
          <w:rFonts w:hint="eastAsia" w:ascii="仿宋" w:hAnsi="仿宋" w:eastAsia="仿宋" w:cs="仿宋"/>
          <w:sz w:val="32"/>
          <w:szCs w:val="32"/>
        </w:rPr>
        <w:t>龙华区市场监督管理部门负责个转企</w:t>
      </w:r>
      <w:r>
        <w:rPr>
          <w:rFonts w:hint="eastAsia" w:ascii="仿宋" w:hAnsi="仿宋" w:eastAsia="仿宋" w:cs="仿宋"/>
          <w:bCs/>
          <w:sz w:val="32"/>
          <w:szCs w:val="32"/>
        </w:rPr>
        <w:t>奖补工作，组织实施本办法；发改、财政、税务、公安、商务、营商环境及其他有关部门按照各自职责分工协助配合，保证本办法的全面落</w:t>
      </w:r>
      <w:r>
        <w:rPr>
          <w:rFonts w:hint="eastAsia" w:ascii="仿宋" w:hAnsi="仿宋" w:eastAsia="仿宋" w:cs="仿宋"/>
          <w:sz w:val="32"/>
          <w:szCs w:val="32"/>
        </w:rPr>
        <w:t>实。</w:t>
      </w:r>
    </w:p>
    <w:p w14:paraId="52F5E382">
      <w:pPr>
        <w:spacing w:after="40" w:line="560" w:lineRule="exact"/>
        <w:ind w:firstLine="640" w:firstLineChars="200"/>
        <w:rPr>
          <w:rFonts w:ascii="仿宋" w:hAnsi="仿宋" w:eastAsia="仿宋" w:cs="仿宋"/>
          <w:bCs/>
          <w:sz w:val="32"/>
          <w:szCs w:val="32"/>
        </w:rPr>
      </w:pPr>
      <w:r>
        <w:rPr>
          <w:rFonts w:hint="eastAsia" w:ascii="仿宋" w:hAnsi="仿宋" w:eastAsia="仿宋" w:cs="仿宋"/>
          <w:b/>
          <w:bCs/>
          <w:sz w:val="32"/>
          <w:szCs w:val="32"/>
        </w:rPr>
        <w:t>第五条【奖补范围】</w:t>
      </w:r>
      <w:r>
        <w:rPr>
          <w:rFonts w:hint="eastAsia" w:ascii="仿宋" w:hAnsi="仿宋" w:eastAsia="仿宋" w:cs="仿宋"/>
          <w:bCs/>
          <w:sz w:val="32"/>
          <w:szCs w:val="32"/>
        </w:rPr>
        <w:t>本办法奖补范围为符合本办法规定条件，在龙华区注册登记和申报涉税事项的企业。</w:t>
      </w:r>
    </w:p>
    <w:p w14:paraId="0213AF27">
      <w:pPr>
        <w:spacing w:after="40" w:line="560" w:lineRule="exact"/>
        <w:ind w:firstLine="640" w:firstLineChars="200"/>
        <w:rPr>
          <w:rFonts w:ascii="仿宋" w:hAnsi="仿宋" w:eastAsia="仿宋" w:cs="仿宋"/>
          <w:sz w:val="32"/>
          <w:szCs w:val="32"/>
        </w:rPr>
      </w:pPr>
      <w:r>
        <w:rPr>
          <w:rFonts w:hint="eastAsia" w:ascii="仿宋" w:hAnsi="仿宋" w:eastAsia="仿宋" w:cs="仿宋"/>
          <w:b/>
          <w:bCs/>
          <w:sz w:val="32"/>
          <w:szCs w:val="32"/>
        </w:rPr>
        <w:t>第六条【资金来源】</w:t>
      </w:r>
      <w:r>
        <w:rPr>
          <w:rFonts w:hint="eastAsia" w:ascii="仿宋" w:hAnsi="仿宋" w:eastAsia="仿宋" w:cs="仿宋"/>
          <w:sz w:val="32"/>
          <w:szCs w:val="32"/>
        </w:rPr>
        <w:t>本办法奖补资金由龙华区财政预算统筹安排，专款专用。</w:t>
      </w:r>
    </w:p>
    <w:p w14:paraId="6F9711F1">
      <w:pPr>
        <w:spacing w:after="40" w:line="560" w:lineRule="exact"/>
        <w:ind w:firstLine="640" w:firstLineChars="200"/>
        <w:rPr>
          <w:rFonts w:ascii="仿宋" w:hAnsi="仿宋" w:eastAsia="仿宋" w:cs="仿宋"/>
          <w:sz w:val="32"/>
          <w:szCs w:val="32"/>
        </w:rPr>
      </w:pPr>
      <w:r>
        <w:rPr>
          <w:rFonts w:hint="eastAsia" w:ascii="仿宋" w:hAnsi="仿宋" w:eastAsia="仿宋" w:cs="仿宋"/>
          <w:b/>
          <w:bCs/>
          <w:sz w:val="32"/>
          <w:szCs w:val="32"/>
        </w:rPr>
        <w:t>第七条【奖补种类和金额】</w:t>
      </w:r>
      <w:r>
        <w:rPr>
          <w:rFonts w:hint="eastAsia" w:ascii="仿宋" w:hAnsi="仿宋" w:eastAsia="仿宋" w:cs="仿宋"/>
          <w:sz w:val="32"/>
          <w:szCs w:val="32"/>
        </w:rPr>
        <w:t>本办法奖补资金分为政府补贴资金和政府奖励资金。</w:t>
      </w:r>
    </w:p>
    <w:p w14:paraId="70590F02">
      <w:pPr>
        <w:spacing w:after="40" w:line="560" w:lineRule="exact"/>
        <w:ind w:firstLine="640" w:firstLineChars="200"/>
        <w:rPr>
          <w:rFonts w:ascii="仿宋" w:hAnsi="仿宋" w:eastAsia="仿宋" w:cs="仿宋"/>
          <w:sz w:val="32"/>
          <w:szCs w:val="32"/>
        </w:rPr>
      </w:pPr>
      <w:r>
        <w:rPr>
          <w:rFonts w:hint="eastAsia" w:ascii="仿宋" w:hAnsi="仿宋" w:eastAsia="仿宋" w:cs="仿宋"/>
          <w:sz w:val="32"/>
          <w:szCs w:val="32"/>
        </w:rPr>
        <w:t>政府补贴资金有以下四种类型：</w:t>
      </w:r>
    </w:p>
    <w:p w14:paraId="11E45C1F">
      <w:pPr>
        <w:spacing w:after="40" w:line="560" w:lineRule="exact"/>
        <w:ind w:firstLine="640" w:firstLineChars="200"/>
        <w:rPr>
          <w:rFonts w:ascii="仿宋" w:hAnsi="仿宋" w:eastAsia="仿宋" w:cs="仿宋"/>
          <w:sz w:val="32"/>
          <w:szCs w:val="32"/>
        </w:rPr>
      </w:pPr>
      <w:r>
        <w:rPr>
          <w:rFonts w:hint="eastAsia" w:ascii="仿宋" w:hAnsi="仿宋" w:eastAsia="仿宋" w:cs="仿宋"/>
          <w:sz w:val="32"/>
          <w:szCs w:val="32"/>
        </w:rPr>
        <w:t>（一）转型企业首套印章刻制补贴，金额为240元；</w:t>
      </w:r>
    </w:p>
    <w:p w14:paraId="5D0F1C51">
      <w:pPr>
        <w:spacing w:after="40" w:line="560" w:lineRule="exact"/>
        <w:ind w:firstLine="640" w:firstLineChars="200"/>
        <w:rPr>
          <w:rFonts w:ascii="仿宋" w:hAnsi="仿宋" w:eastAsia="仿宋" w:cs="仿宋"/>
          <w:sz w:val="32"/>
          <w:szCs w:val="32"/>
        </w:rPr>
      </w:pPr>
      <w:r>
        <w:rPr>
          <w:rFonts w:hint="eastAsia" w:ascii="仿宋" w:hAnsi="仿宋" w:eastAsia="仿宋" w:cs="仿宋"/>
          <w:sz w:val="32"/>
          <w:szCs w:val="32"/>
        </w:rPr>
        <w:t>（二）转型企业接收转型前获得的注册商标变更（转让）补贴，每件注册商标每个类别补贴金额标准为：变更规费补贴金额150元、转让规费补贴金额450元及商标代理服务补贴金额200元；</w:t>
      </w:r>
    </w:p>
    <w:p w14:paraId="526EA875">
      <w:pPr>
        <w:spacing w:after="40" w:line="560" w:lineRule="exact"/>
        <w:ind w:firstLine="640" w:firstLineChars="200"/>
        <w:rPr>
          <w:rFonts w:ascii="仿宋" w:hAnsi="仿宋" w:eastAsia="仿宋" w:cs="仿宋"/>
          <w:sz w:val="32"/>
          <w:szCs w:val="32"/>
        </w:rPr>
      </w:pPr>
      <w:r>
        <w:rPr>
          <w:rFonts w:hint="eastAsia" w:ascii="仿宋" w:hAnsi="仿宋" w:eastAsia="仿宋" w:cs="仿宋"/>
          <w:sz w:val="32"/>
          <w:szCs w:val="32"/>
        </w:rPr>
        <w:t>（三）转型企业首年度及次年度财务代理补贴，每月补贴金额为300元，两年共计7200元；</w:t>
      </w:r>
    </w:p>
    <w:p w14:paraId="4DCB90A3">
      <w:pPr>
        <w:spacing w:after="40" w:line="560" w:lineRule="exact"/>
        <w:ind w:firstLine="640" w:firstLineChars="200"/>
        <w:rPr>
          <w:rFonts w:ascii="仿宋" w:hAnsi="仿宋" w:eastAsia="仿宋" w:cs="仿宋"/>
          <w:sz w:val="32"/>
          <w:szCs w:val="32"/>
        </w:rPr>
      </w:pPr>
      <w:r>
        <w:rPr>
          <w:rFonts w:hint="eastAsia" w:ascii="仿宋" w:hAnsi="仿宋" w:eastAsia="仿宋" w:cs="仿宋"/>
          <w:sz w:val="32"/>
          <w:szCs w:val="32"/>
        </w:rPr>
        <w:t>（四）转型企业首年度及次年度银行账户管理费用补贴，金额为每年360元，两年共计720元。</w:t>
      </w:r>
    </w:p>
    <w:p w14:paraId="45C1CD91">
      <w:pPr>
        <w:spacing w:after="40" w:line="560" w:lineRule="exact"/>
        <w:ind w:firstLine="640" w:firstLineChars="200"/>
        <w:rPr>
          <w:rFonts w:ascii="仿宋" w:hAnsi="仿宋" w:eastAsia="仿宋" w:cs="仿宋"/>
          <w:sz w:val="32"/>
          <w:szCs w:val="32"/>
        </w:rPr>
      </w:pPr>
      <w:r>
        <w:rPr>
          <w:rFonts w:hint="eastAsia" w:ascii="仿宋" w:hAnsi="仿宋" w:eastAsia="仿宋" w:cs="仿宋"/>
          <w:sz w:val="32"/>
          <w:szCs w:val="32"/>
        </w:rPr>
        <w:t>政府奖励资金有以下三种类型：</w:t>
      </w:r>
    </w:p>
    <w:p w14:paraId="1A43A3A1">
      <w:pPr>
        <w:spacing w:after="40" w:line="560" w:lineRule="exact"/>
        <w:ind w:firstLine="640" w:firstLineChars="200"/>
        <w:rPr>
          <w:rFonts w:ascii="仿宋" w:hAnsi="仿宋" w:eastAsia="仿宋" w:cs="仿宋"/>
          <w:sz w:val="32"/>
          <w:szCs w:val="32"/>
        </w:rPr>
      </w:pPr>
      <w:r>
        <w:rPr>
          <w:rFonts w:hint="eastAsia" w:ascii="仿宋" w:hAnsi="仿宋" w:eastAsia="仿宋" w:cs="仿宋"/>
          <w:sz w:val="32"/>
          <w:szCs w:val="32"/>
        </w:rPr>
        <w:t>（一）转型企业经营激励奖励，一次性发放金额10000元；</w:t>
      </w:r>
    </w:p>
    <w:p w14:paraId="320F889A">
      <w:pPr>
        <w:spacing w:after="40" w:line="560" w:lineRule="exact"/>
        <w:ind w:firstLine="640" w:firstLineChars="200"/>
        <w:rPr>
          <w:rFonts w:ascii="仿宋" w:hAnsi="仿宋" w:eastAsia="仿宋" w:cs="仿宋"/>
          <w:sz w:val="32"/>
          <w:szCs w:val="32"/>
        </w:rPr>
      </w:pPr>
      <w:r>
        <w:rPr>
          <w:rFonts w:hint="eastAsia" w:ascii="仿宋" w:hAnsi="仿宋" w:eastAsia="仿宋" w:cs="仿宋"/>
          <w:sz w:val="32"/>
          <w:szCs w:val="32"/>
        </w:rPr>
        <w:t>（二）转型企业新注册商标奖励，一次性发放金额2000元；</w:t>
      </w:r>
    </w:p>
    <w:p w14:paraId="056B9DCD">
      <w:pPr>
        <w:spacing w:after="40" w:line="560" w:lineRule="exact"/>
        <w:ind w:firstLine="640" w:firstLineChars="200"/>
        <w:rPr>
          <w:rFonts w:ascii="仿宋" w:hAnsi="仿宋" w:eastAsia="仿宋" w:cs="仿宋"/>
          <w:sz w:val="32"/>
          <w:szCs w:val="32"/>
        </w:rPr>
      </w:pPr>
      <w:r>
        <w:rPr>
          <w:rFonts w:hint="eastAsia" w:ascii="仿宋" w:hAnsi="仿宋" w:eastAsia="仿宋" w:cs="仿宋"/>
          <w:sz w:val="32"/>
          <w:szCs w:val="32"/>
        </w:rPr>
        <w:t>（三）转型企业驰名商标或中华老字号奖励，一次性发放金额50000元，转型企业驰名商标和中华老字号名称相同的只发放一次奖励资金，不重复发放。</w:t>
      </w:r>
    </w:p>
    <w:p w14:paraId="0BE853C1">
      <w:pPr>
        <w:spacing w:after="40" w:line="560" w:lineRule="exact"/>
        <w:ind w:firstLine="640" w:firstLineChars="200"/>
        <w:rPr>
          <w:rFonts w:ascii="仿宋" w:hAnsi="仿宋" w:eastAsia="仿宋" w:cs="仿宋"/>
          <w:sz w:val="32"/>
          <w:szCs w:val="32"/>
        </w:rPr>
      </w:pPr>
      <w:r>
        <w:rPr>
          <w:rFonts w:hint="eastAsia" w:ascii="仿宋" w:hAnsi="仿宋" w:eastAsia="仿宋" w:cs="仿宋"/>
          <w:b/>
          <w:bCs/>
          <w:sz w:val="32"/>
          <w:szCs w:val="32"/>
        </w:rPr>
        <w:t>第八条【奖补方式】</w:t>
      </w:r>
      <w:r>
        <w:rPr>
          <w:rFonts w:hint="eastAsia" w:ascii="仿宋" w:hAnsi="仿宋" w:eastAsia="仿宋" w:cs="仿宋"/>
          <w:sz w:val="32"/>
          <w:szCs w:val="32"/>
        </w:rPr>
        <w:t>政府补贴资金的发放方式实行“先垫后补”。转型企业首套印章刻制补贴、接收转型前获得的注册商标变更（转让）补贴、首年度及次年度财务代理补贴，由政府部门按照本办法规定委托印章刻制单位、商标注册代理单位、财务代理单位（以下简称“第三方服务单位”）先向转型企业分别提供免费印章刻制、免费代理注册商标变更（转让）、免费代理财务等服务后，再按照本办法规定由第三方服务单位与政府部门结算补贴费用。首年度及次年度银行账户管理费用补贴，由转型企业先行向银行支付账户管理费后再按本办法规定向政府部门申领补贴。</w:t>
      </w:r>
    </w:p>
    <w:p w14:paraId="01B8509B">
      <w:pPr>
        <w:spacing w:after="40" w:line="560" w:lineRule="exact"/>
        <w:ind w:firstLine="640" w:firstLineChars="200"/>
        <w:rPr>
          <w:rFonts w:ascii="仿宋" w:hAnsi="仿宋" w:eastAsia="仿宋" w:cs="仿宋"/>
          <w:sz w:val="32"/>
          <w:szCs w:val="32"/>
        </w:rPr>
      </w:pPr>
      <w:r>
        <w:rPr>
          <w:rFonts w:hint="eastAsia" w:ascii="仿宋" w:hAnsi="仿宋" w:eastAsia="仿宋" w:cs="仿宋"/>
          <w:sz w:val="32"/>
          <w:szCs w:val="32"/>
        </w:rPr>
        <w:t>政府奖励资金由政府部门按照本办法规定直接发放至转型企业。</w:t>
      </w:r>
    </w:p>
    <w:p w14:paraId="4A520F29">
      <w:pPr>
        <w:spacing w:after="40" w:line="560" w:lineRule="exact"/>
        <w:ind w:firstLine="640"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第九条【服务内容】</w:t>
      </w:r>
      <w:r>
        <w:rPr>
          <w:rFonts w:hint="eastAsia" w:ascii="仿宋" w:hAnsi="仿宋" w:eastAsia="仿宋" w:cs="仿宋"/>
          <w:color w:val="auto"/>
          <w:sz w:val="32"/>
          <w:szCs w:val="32"/>
        </w:rPr>
        <w:t>印章刻制服务是指政府委托印章刻制单位免费为转型企业刻制首套公章、财务专用章、发票专用章、法定代表人（或负责人、执行事务合伙人、委派代表）人名章各1枚，合计4枚，使用回墨硬质环保材质。印章尺寸要求为：企业公章形状为圆型，直径40mm或42mm；财务专用章形状为圆形，直径38mm或40mm；发票专用章形状为椭圆型，长轴为40mm，短轴为30mm；法定代表人（或负责人、执行事务合伙人、委派代表）人名章形状为方形，边长20mm。</w:t>
      </w:r>
    </w:p>
    <w:p w14:paraId="029A630D">
      <w:pPr>
        <w:spacing w:after="40" w:line="560" w:lineRule="exact"/>
        <w:ind w:firstLine="640" w:firstLineChars="200"/>
        <w:rPr>
          <w:rFonts w:ascii="仿宋" w:hAnsi="仿宋" w:eastAsia="仿宋" w:cs="仿宋"/>
          <w:bCs/>
          <w:sz w:val="32"/>
          <w:szCs w:val="32"/>
        </w:rPr>
      </w:pPr>
      <w:r>
        <w:rPr>
          <w:rFonts w:hint="eastAsia" w:ascii="仿宋" w:hAnsi="仿宋" w:eastAsia="仿宋" w:cs="仿宋"/>
          <w:sz w:val="32"/>
          <w:szCs w:val="32"/>
        </w:rPr>
        <w:t>注册商标变更（转让）代理服务是指</w:t>
      </w:r>
      <w:r>
        <w:rPr>
          <w:rFonts w:hint="eastAsia" w:ascii="仿宋" w:hAnsi="仿宋" w:eastAsia="仿宋" w:cs="仿宋"/>
          <w:bCs/>
          <w:sz w:val="32"/>
          <w:szCs w:val="32"/>
        </w:rPr>
        <w:t>政府委托商标注册代理单位免费为转型企业就转型前原个体工商户获得的注册商标向国家知识产权局商标局申办变更或转让至转型企业等服务。</w:t>
      </w:r>
    </w:p>
    <w:p w14:paraId="6BD384A1">
      <w:pPr>
        <w:spacing w:after="40"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财务代理服务是指政府委托财务代理单位免费为转型企业提供首年度和次年度代理整理票据、记账、装订凭证、财务审核、申报税费、发票申领等涉税事项服务以及在国家企业信用信息公示系统上完成企业年报等服务。</w:t>
      </w:r>
    </w:p>
    <w:p w14:paraId="18646DB6">
      <w:pPr>
        <w:spacing w:after="40" w:line="560" w:lineRule="exact"/>
        <w:ind w:firstLine="640" w:firstLineChars="200"/>
        <w:rPr>
          <w:rFonts w:ascii="仿宋" w:hAnsi="仿宋" w:eastAsia="仿宋" w:cs="仿宋"/>
          <w:sz w:val="32"/>
          <w:szCs w:val="32"/>
        </w:rPr>
      </w:pPr>
      <w:r>
        <w:rPr>
          <w:rFonts w:hint="eastAsia" w:ascii="仿宋" w:hAnsi="仿宋" w:eastAsia="仿宋" w:cs="仿宋"/>
          <w:b/>
          <w:bCs/>
          <w:sz w:val="32"/>
          <w:szCs w:val="32"/>
        </w:rPr>
        <w:t>第十条【政府委托第三方服务单位的确定】</w:t>
      </w:r>
      <w:r>
        <w:rPr>
          <w:rFonts w:hint="eastAsia" w:ascii="仿宋" w:hAnsi="仿宋" w:eastAsia="仿宋" w:cs="仿宋"/>
          <w:sz w:val="32"/>
          <w:szCs w:val="32"/>
        </w:rPr>
        <w:t xml:space="preserve">龙华区市场监督管理部门作为“个转企”奖补资金发放的具体实施部门，通过政府采购方式确定第三方服务单位，按规定程序与第三方服务单位签订委托服务协议。 </w:t>
      </w:r>
    </w:p>
    <w:p w14:paraId="24CB5C68">
      <w:pPr>
        <w:spacing w:after="40" w:line="560" w:lineRule="exact"/>
        <w:ind w:firstLine="640" w:firstLineChars="200"/>
        <w:rPr>
          <w:rFonts w:hint="eastAsia" w:ascii="仿宋" w:hAnsi="仿宋" w:eastAsia="仿宋" w:cs="仿宋"/>
          <w:bCs/>
          <w:sz w:val="32"/>
          <w:szCs w:val="32"/>
        </w:rPr>
      </w:pPr>
      <w:r>
        <w:rPr>
          <w:rFonts w:hint="eastAsia" w:ascii="仿宋" w:hAnsi="仿宋" w:eastAsia="仿宋" w:cs="仿宋"/>
          <w:b/>
          <w:bCs/>
          <w:sz w:val="32"/>
          <w:szCs w:val="32"/>
        </w:rPr>
        <w:t>第十一条【奖补发放条件】</w:t>
      </w:r>
      <w:r>
        <w:rPr>
          <w:rFonts w:hint="eastAsia" w:ascii="仿宋" w:hAnsi="仿宋" w:eastAsia="仿宋" w:cs="仿宋"/>
          <w:sz w:val="32"/>
          <w:szCs w:val="32"/>
        </w:rPr>
        <w:t>转型企业享受免费服务及奖补资</w:t>
      </w:r>
      <w:r>
        <w:rPr>
          <w:rFonts w:hint="eastAsia" w:ascii="仿宋" w:hAnsi="仿宋" w:eastAsia="仿宋" w:cs="仿宋"/>
          <w:bCs/>
          <w:sz w:val="32"/>
          <w:szCs w:val="32"/>
        </w:rPr>
        <w:t>金应符合以下条件：</w:t>
      </w:r>
    </w:p>
    <w:p w14:paraId="2DF9511C">
      <w:pPr>
        <w:spacing w:after="40"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（一）转型</w:t>
      </w:r>
      <w:r>
        <w:rPr>
          <w:rFonts w:hint="eastAsia" w:ascii="仿宋" w:hAnsi="仿宋" w:eastAsia="仿宋" w:cs="仿宋"/>
          <w:sz w:val="32"/>
          <w:szCs w:val="32"/>
        </w:rPr>
        <w:t>前的原个体工商户自《海口市龙华区“注促营 个转企 小升规”企业培育三年</w:t>
      </w:r>
      <w:r>
        <w:rPr>
          <w:rFonts w:hint="eastAsia" w:ascii="仿宋" w:hAnsi="仿宋" w:eastAsia="仿宋" w:cs="仿宋"/>
          <w:sz w:val="32"/>
          <w:szCs w:val="32"/>
          <w:lang w:eastAsia="zh-CN"/>
        </w:rPr>
        <w:t>行动</w:t>
      </w:r>
      <w:r>
        <w:rPr>
          <w:rFonts w:hint="eastAsia" w:ascii="仿宋" w:hAnsi="仿宋" w:eastAsia="仿宋" w:cs="仿宋"/>
          <w:sz w:val="32"/>
          <w:szCs w:val="32"/>
        </w:rPr>
        <w:t>总体方案》发布之日（即2023年9月11日）起申请，且</w:t>
      </w:r>
      <w:r>
        <w:rPr>
          <w:rFonts w:hint="eastAsia" w:ascii="仿宋" w:hAnsi="仿宋" w:eastAsia="仿宋" w:cs="仿宋"/>
          <w:bCs/>
          <w:sz w:val="32"/>
          <w:szCs w:val="32"/>
        </w:rPr>
        <w:t>在本办法有效期内完成“个转企”登记；</w:t>
      </w:r>
    </w:p>
    <w:p w14:paraId="3BDDABCC">
      <w:pPr>
        <w:spacing w:after="4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（二）申请经营激励奖励的，需同时符合转型企业持续经营12个月以上，在该经营期间每月都有生产经营业务收入，且有3个月每个月生产经营业务收入超过10万元</w:t>
      </w:r>
      <w:r>
        <w:rPr>
          <w:rFonts w:hint="eastAsia" w:ascii="仿宋" w:hAnsi="仿宋" w:eastAsia="仿宋" w:cs="仿宋"/>
          <w:sz w:val="32"/>
          <w:szCs w:val="32"/>
          <w:lang w:eastAsia="zh-CN"/>
        </w:rPr>
        <w:t>，</w:t>
      </w:r>
      <w:r>
        <w:rPr>
          <w:rFonts w:hint="eastAsia" w:ascii="仿宋" w:hAnsi="仿宋" w:eastAsia="仿宋" w:cs="仿宋"/>
          <w:sz w:val="32"/>
          <w:szCs w:val="32"/>
        </w:rPr>
        <w:t>名下有1名或以上人员连续购买社保；</w:t>
      </w:r>
    </w:p>
    <w:p w14:paraId="5EC26864">
      <w:pPr>
        <w:spacing w:after="40" w:line="560" w:lineRule="exact"/>
        <w:ind w:firstLine="640" w:firstLineChars="200"/>
        <w:rPr>
          <w:rFonts w:ascii="仿宋" w:hAnsi="仿宋" w:eastAsia="仿宋" w:cs="仿宋"/>
          <w:sz w:val="32"/>
          <w:szCs w:val="32"/>
        </w:rPr>
      </w:pPr>
      <w:r>
        <w:rPr>
          <w:rFonts w:hint="eastAsia" w:ascii="仿宋" w:hAnsi="仿宋" w:eastAsia="仿宋" w:cs="仿宋"/>
          <w:sz w:val="32"/>
          <w:szCs w:val="32"/>
        </w:rPr>
        <w:t>（三）申请新注册商标奖励的，转型企业需获得新核准的注册商标；</w:t>
      </w:r>
    </w:p>
    <w:p w14:paraId="799E5F24">
      <w:pPr>
        <w:spacing w:after="40" w:line="560" w:lineRule="exact"/>
        <w:ind w:firstLine="640" w:firstLineChars="200"/>
        <w:rPr>
          <w:rFonts w:ascii="仿宋" w:hAnsi="仿宋" w:eastAsia="仿宋" w:cs="仿宋"/>
          <w:sz w:val="32"/>
          <w:szCs w:val="32"/>
        </w:rPr>
      </w:pPr>
      <w:r>
        <w:rPr>
          <w:rFonts w:hint="eastAsia" w:ascii="仿宋" w:hAnsi="仿宋" w:eastAsia="仿宋" w:cs="仿宋"/>
          <w:sz w:val="32"/>
          <w:szCs w:val="32"/>
        </w:rPr>
        <w:t>（四）转型企业在转型前被认定为驰名商标或中华老字号的，转型后持续经营12个月以上即可申请驰名商标奖励或中华老字号奖励，转型企业在转型后被认定为驰名商标或中华老字号的，自被认定之日起持续经营12个月以上即可申请驰名商标奖励或中华老字号奖励。</w:t>
      </w:r>
    </w:p>
    <w:p w14:paraId="3113990E">
      <w:pPr>
        <w:spacing w:after="40" w:line="560" w:lineRule="exact"/>
        <w:ind w:firstLine="640" w:firstLineChars="200"/>
        <w:rPr>
          <w:rFonts w:hint="eastAsia" w:ascii="仿宋" w:hAnsi="仿宋" w:eastAsia="仿宋" w:cs="仿宋"/>
          <w:sz w:val="32"/>
          <w:szCs w:val="32"/>
        </w:rPr>
      </w:pPr>
      <w:r>
        <w:rPr>
          <w:rFonts w:hint="eastAsia" w:ascii="仿宋" w:hAnsi="仿宋" w:eastAsia="仿宋" w:cs="仿宋"/>
          <w:b/>
          <w:bCs/>
          <w:sz w:val="32"/>
          <w:szCs w:val="32"/>
        </w:rPr>
        <w:t>第十二条【不予奖补的情形】</w:t>
      </w:r>
      <w:r>
        <w:rPr>
          <w:rFonts w:hint="eastAsia" w:ascii="仿宋" w:hAnsi="仿宋" w:eastAsia="仿宋" w:cs="仿宋"/>
          <w:sz w:val="32"/>
          <w:szCs w:val="32"/>
        </w:rPr>
        <w:t>转型企业存在以下情形之一的，不得享受免费服务或不予发放奖补资金：</w:t>
      </w:r>
    </w:p>
    <w:p w14:paraId="7E9D51C9">
      <w:pPr>
        <w:spacing w:after="4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（一）提交虚假申请材料或以伪造营业收入、虚开发票等方式骗取免费服务或套取奖补资金的；</w:t>
      </w:r>
    </w:p>
    <w:p w14:paraId="2418C051">
      <w:pPr>
        <w:spacing w:after="40" w:line="560" w:lineRule="exact"/>
        <w:ind w:firstLine="640" w:firstLineChars="200"/>
        <w:rPr>
          <w:rFonts w:ascii="仿宋" w:hAnsi="仿宋" w:eastAsia="仿宋" w:cs="仿宋"/>
          <w:sz w:val="32"/>
          <w:szCs w:val="32"/>
        </w:rPr>
      </w:pPr>
      <w:r>
        <w:rPr>
          <w:rFonts w:hint="eastAsia" w:ascii="仿宋" w:hAnsi="仿宋" w:eastAsia="仿宋" w:cs="仿宋"/>
          <w:sz w:val="32"/>
          <w:szCs w:val="32"/>
        </w:rPr>
        <w:t>（二）转型企业被列入税收违法失信名单、经营异常名录和严重违法失信名单，但转型企业通过信用修复被移出税收违法失信名单、经营异常名录和严重违法失信名单的除外；</w:t>
      </w:r>
    </w:p>
    <w:p w14:paraId="61E1F540">
      <w:pPr>
        <w:spacing w:after="4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（三）转型企业在享受免费服务或申领奖补资金期间被撤销设立登记、被吊销、被责令关停、被强制注销或自行注销的；</w:t>
      </w:r>
    </w:p>
    <w:p w14:paraId="38E3A474">
      <w:pPr>
        <w:spacing w:after="4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（四）转型企业在享受免费服务或申领奖补资金期间登记住所（或经营场所）已变更至龙华区以外的其他行政区域的；</w:t>
      </w:r>
    </w:p>
    <w:p w14:paraId="66F55AAB">
      <w:pPr>
        <w:spacing w:after="40" w:line="560" w:lineRule="exact"/>
        <w:ind w:firstLine="640" w:firstLineChars="200"/>
        <w:rPr>
          <w:rFonts w:ascii="仿宋" w:hAnsi="仿宋" w:eastAsia="仿宋" w:cs="仿宋"/>
          <w:sz w:val="32"/>
          <w:szCs w:val="32"/>
        </w:rPr>
      </w:pPr>
      <w:r>
        <w:rPr>
          <w:rFonts w:hint="eastAsia" w:ascii="仿宋" w:hAnsi="仿宋" w:eastAsia="仿宋" w:cs="仿宋"/>
          <w:sz w:val="32"/>
          <w:szCs w:val="32"/>
        </w:rPr>
        <w:t>（五）公示期内有提出异议，且经审核异议成立的；</w:t>
      </w:r>
    </w:p>
    <w:p w14:paraId="6C0590C1">
      <w:pPr>
        <w:spacing w:after="40" w:line="560" w:lineRule="exact"/>
        <w:ind w:firstLine="640" w:firstLineChars="200"/>
        <w:rPr>
          <w:rFonts w:ascii="仿宋" w:hAnsi="仿宋" w:eastAsia="仿宋" w:cs="仿宋"/>
          <w:sz w:val="32"/>
          <w:szCs w:val="32"/>
        </w:rPr>
      </w:pPr>
      <w:r>
        <w:rPr>
          <w:rFonts w:hint="eastAsia" w:ascii="仿宋" w:hAnsi="仿宋" w:eastAsia="仿宋" w:cs="仿宋"/>
          <w:sz w:val="32"/>
          <w:szCs w:val="32"/>
        </w:rPr>
        <w:t>（六）其他法律法规规定的情形。</w:t>
      </w:r>
    </w:p>
    <w:p w14:paraId="0EDAA4C8">
      <w:pPr>
        <w:spacing w:after="40"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方服务单位在为转型企业提供免费服务前或提供免费服务过程中发现转型企业存在本条（一）至（四）款规定情形的，应立即向龙华区市场监督管理部门报告，并暂停对转型企业提供服务，龙华区市场监督管理部门经核查属实的，第三方服务单位应立即终止对转型企业提供服务。</w:t>
      </w:r>
    </w:p>
    <w:p w14:paraId="5B788165">
      <w:pPr>
        <w:spacing w:after="40" w:line="560" w:lineRule="exact"/>
        <w:ind w:firstLine="640" w:firstLineChars="200"/>
        <w:rPr>
          <w:rFonts w:ascii="仿宋" w:hAnsi="仿宋" w:eastAsia="仿宋" w:cs="仿宋"/>
          <w:sz w:val="32"/>
          <w:szCs w:val="32"/>
        </w:rPr>
      </w:pPr>
      <w:r>
        <w:rPr>
          <w:rFonts w:hint="eastAsia" w:ascii="仿宋" w:hAnsi="仿宋" w:eastAsia="仿宋" w:cs="仿宋"/>
          <w:sz w:val="32"/>
          <w:szCs w:val="32"/>
        </w:rPr>
        <w:t>属于不予奖补情形但已享受免费服务或领取奖补资金的转型企业，应在接到龙华区市场监督管理部门下达的告知书后30日内返还相应的奖补资金。到期不返还的，龙华区市场监督管理部门依有关规定函告相关部门对转型企业和失信责任人（自然人）实施联合惩戒并依法追偿。</w:t>
      </w:r>
    </w:p>
    <w:p w14:paraId="0AD724BA">
      <w:pPr>
        <w:spacing w:after="40" w:line="560" w:lineRule="exact"/>
        <w:ind w:firstLine="640" w:firstLineChars="200"/>
        <w:rPr>
          <w:rFonts w:ascii="仿宋" w:hAnsi="仿宋" w:eastAsia="仿宋" w:cs="仿宋"/>
          <w:sz w:val="32"/>
          <w:szCs w:val="32"/>
        </w:rPr>
      </w:pPr>
      <w:r>
        <w:rPr>
          <w:rFonts w:hint="eastAsia" w:ascii="仿宋" w:hAnsi="仿宋" w:eastAsia="仿宋" w:cs="仿宋"/>
          <w:b/>
          <w:bCs/>
          <w:sz w:val="32"/>
          <w:szCs w:val="32"/>
        </w:rPr>
        <w:t>第十三条【订单推送】</w:t>
      </w:r>
      <w:r>
        <w:rPr>
          <w:rFonts w:hint="eastAsia" w:ascii="仿宋" w:hAnsi="仿宋" w:eastAsia="仿宋" w:cs="仿宋"/>
          <w:sz w:val="32"/>
          <w:szCs w:val="32"/>
        </w:rPr>
        <w:t>转型企业可自行选择是否享受政府提供的免费服务。如选择免费服务的，转型企业在做出承诺后，龙华区市场监督管理部门通过派单系统分别将转型企业和政府委托的第三方服务单位相关信息向两方推送。</w:t>
      </w:r>
    </w:p>
    <w:p w14:paraId="2FB2BC18">
      <w:pPr>
        <w:spacing w:after="40" w:line="560" w:lineRule="exact"/>
        <w:ind w:firstLine="640" w:firstLineChars="200"/>
        <w:rPr>
          <w:rFonts w:ascii="仿宋" w:hAnsi="仿宋" w:eastAsia="仿宋" w:cs="仿宋"/>
          <w:sz w:val="32"/>
          <w:szCs w:val="32"/>
        </w:rPr>
      </w:pPr>
      <w:r>
        <w:rPr>
          <w:rFonts w:hint="eastAsia" w:ascii="仿宋" w:hAnsi="仿宋" w:eastAsia="仿宋" w:cs="仿宋"/>
          <w:b/>
          <w:bCs/>
          <w:sz w:val="32"/>
          <w:szCs w:val="32"/>
        </w:rPr>
        <w:t>第十四条【第三方服务单位的垫补资金结算】</w:t>
      </w:r>
      <w:r>
        <w:rPr>
          <w:rFonts w:hint="eastAsia" w:ascii="仿宋" w:hAnsi="仿宋" w:eastAsia="仿宋" w:cs="仿宋"/>
          <w:sz w:val="32"/>
          <w:szCs w:val="32"/>
        </w:rPr>
        <w:t>政府委托的第三方服务单位申领先行垫付的转型企业补贴实行每季度结算。在每季度结束后的10日内，龙华区市场监督管理部门通过系统导出上季度服务期满拟结算的补贴项目清单，与第三方服务单位核对确认，并提交其他相关部门共同审核。其中首套印章刻制补贴的项目清单提交公安部门审核，接收转型前获得的注册商标变更（转让）补贴的项目清单提交知识产权部门审核，首年度及次年度财务代理补贴中的涉税申报证明由税务部门根据转型企业的申请开具。审核通过的由龙华区市场监督管理部门在海口市龙华区人民政府和海口市市场监督管理局官方网站上公示，公示期10日。龙华区市场监督管理部门在公示期满后10日内对公示期内提出的异议进行核实。符合规定的第三方服务单位在龙华区市场监督管理部门通知后10日内提交发票等相关凭证，由龙华区市场监督管理部门按财务制度规定程序向财政部门提交结算申请并办理资金审核拨付手续。具体结算方式、提交材料等内容由龙华区市场监督管理部门与第三方服务单位通过签订的委托服务协议予以明确。</w:t>
      </w:r>
    </w:p>
    <w:p w14:paraId="79D800CC">
      <w:pPr>
        <w:spacing w:after="40" w:line="560" w:lineRule="exact"/>
        <w:ind w:firstLine="640" w:firstLineChars="200"/>
        <w:rPr>
          <w:rFonts w:ascii="仿宋" w:hAnsi="仿宋" w:eastAsia="仿宋" w:cs="仿宋"/>
          <w:sz w:val="32"/>
          <w:szCs w:val="32"/>
        </w:rPr>
      </w:pPr>
      <w:r>
        <w:rPr>
          <w:rFonts w:hint="eastAsia" w:ascii="仿宋" w:hAnsi="仿宋" w:eastAsia="仿宋" w:cs="仿宋"/>
          <w:b/>
          <w:bCs/>
          <w:sz w:val="32"/>
          <w:szCs w:val="32"/>
        </w:rPr>
        <w:t>第十五条【违规处理】</w:t>
      </w:r>
      <w:r>
        <w:rPr>
          <w:rFonts w:hint="eastAsia" w:ascii="仿宋" w:hAnsi="仿宋" w:eastAsia="仿宋" w:cs="仿宋"/>
          <w:sz w:val="32"/>
          <w:szCs w:val="32"/>
        </w:rPr>
        <w:t>第三方服务单位存在下列违规情况之一的，龙华区市场监督管理部门经核实后取消其当年服务资格：</w:t>
      </w:r>
    </w:p>
    <w:p w14:paraId="24AED522">
      <w:pPr>
        <w:spacing w:after="40" w:line="560" w:lineRule="exact"/>
        <w:ind w:firstLine="640" w:firstLineChars="200"/>
        <w:rPr>
          <w:rFonts w:ascii="仿宋" w:hAnsi="仿宋" w:eastAsia="仿宋" w:cs="仿宋"/>
          <w:sz w:val="32"/>
          <w:szCs w:val="32"/>
        </w:rPr>
      </w:pPr>
      <w:r>
        <w:rPr>
          <w:rFonts w:hint="eastAsia" w:ascii="仿宋" w:hAnsi="仿宋" w:eastAsia="仿宋" w:cs="仿宋"/>
          <w:sz w:val="32"/>
          <w:szCs w:val="32"/>
        </w:rPr>
        <w:t>(一）存在无法按照本办法规定和服务协议约定完成服务的情形；</w:t>
      </w:r>
    </w:p>
    <w:p w14:paraId="65F91DF0">
      <w:pPr>
        <w:spacing w:after="40" w:line="560" w:lineRule="exact"/>
        <w:ind w:firstLine="640" w:firstLineChars="200"/>
        <w:rPr>
          <w:rFonts w:ascii="仿宋" w:hAnsi="仿宋" w:eastAsia="仿宋" w:cs="仿宋"/>
          <w:sz w:val="32"/>
          <w:szCs w:val="32"/>
        </w:rPr>
      </w:pPr>
      <w:r>
        <w:rPr>
          <w:rFonts w:hint="eastAsia" w:ascii="仿宋" w:hAnsi="仿宋" w:eastAsia="仿宋" w:cs="仿宋"/>
          <w:sz w:val="32"/>
          <w:szCs w:val="32"/>
        </w:rPr>
        <w:t>（二）私自向转型企业收取服务费用或向转型企业索要其他相关费用的；</w:t>
      </w:r>
    </w:p>
    <w:p w14:paraId="5CF8034E">
      <w:pPr>
        <w:spacing w:after="40" w:line="560" w:lineRule="exact"/>
        <w:ind w:firstLine="640" w:firstLineChars="200"/>
        <w:rPr>
          <w:rFonts w:ascii="仿宋" w:hAnsi="仿宋" w:eastAsia="仿宋" w:cs="仿宋"/>
          <w:sz w:val="32"/>
          <w:szCs w:val="32"/>
        </w:rPr>
      </w:pPr>
      <w:r>
        <w:rPr>
          <w:rFonts w:hint="eastAsia" w:ascii="仿宋" w:hAnsi="仿宋" w:eastAsia="仿宋" w:cs="仿宋"/>
          <w:sz w:val="32"/>
          <w:szCs w:val="32"/>
        </w:rPr>
        <w:t>（三）其他违反相关法律法规规定的行为。</w:t>
      </w:r>
    </w:p>
    <w:p w14:paraId="4E1AEB97">
      <w:pPr>
        <w:spacing w:after="40" w:line="560" w:lineRule="exact"/>
        <w:ind w:firstLine="640" w:firstLineChars="200"/>
        <w:rPr>
          <w:rFonts w:ascii="仿宋" w:hAnsi="仿宋" w:eastAsia="仿宋" w:cs="仿宋"/>
          <w:sz w:val="32"/>
          <w:szCs w:val="32"/>
        </w:rPr>
      </w:pPr>
      <w:r>
        <w:rPr>
          <w:rFonts w:hint="eastAsia" w:ascii="仿宋" w:hAnsi="仿宋" w:eastAsia="仿宋" w:cs="仿宋"/>
          <w:b/>
          <w:bCs/>
          <w:sz w:val="32"/>
          <w:szCs w:val="32"/>
        </w:rPr>
        <w:t>第十六</w:t>
      </w:r>
      <w:bookmarkStart w:id="0" w:name="_GoBack"/>
      <w:bookmarkEnd w:id="0"/>
      <w:r>
        <w:rPr>
          <w:rFonts w:hint="eastAsia" w:ascii="仿宋" w:hAnsi="仿宋" w:eastAsia="仿宋" w:cs="仿宋"/>
          <w:b/>
          <w:bCs/>
          <w:sz w:val="32"/>
          <w:szCs w:val="32"/>
        </w:rPr>
        <w:t>条【申领奖补资金提供的材料】</w:t>
      </w:r>
      <w:r>
        <w:rPr>
          <w:rFonts w:hint="eastAsia" w:ascii="仿宋" w:hAnsi="仿宋" w:eastAsia="仿宋" w:cs="仿宋"/>
          <w:sz w:val="32"/>
          <w:szCs w:val="32"/>
        </w:rPr>
        <w:t>符合申领条件的转型企业提供以下资料至龙华区市场监督管理部门：</w:t>
      </w:r>
    </w:p>
    <w:p w14:paraId="62913FE6">
      <w:pPr>
        <w:spacing w:after="40" w:line="560" w:lineRule="exact"/>
        <w:ind w:firstLine="640" w:firstLineChars="200"/>
        <w:rPr>
          <w:rFonts w:ascii="仿宋" w:hAnsi="仿宋" w:eastAsia="仿宋" w:cs="仿宋"/>
          <w:sz w:val="32"/>
          <w:szCs w:val="32"/>
        </w:rPr>
      </w:pPr>
      <w:r>
        <w:rPr>
          <w:rFonts w:hint="eastAsia" w:ascii="仿宋" w:hAnsi="仿宋" w:eastAsia="仿宋" w:cs="仿宋"/>
          <w:sz w:val="32"/>
          <w:szCs w:val="32"/>
        </w:rPr>
        <w:t>（一）《海口市龙华区“个转企”奖补资金申请表》；</w:t>
      </w:r>
    </w:p>
    <w:p w14:paraId="1EBCF9F5">
      <w:pPr>
        <w:spacing w:after="40"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（二）《</w:t>
      </w:r>
      <w:r>
        <w:rPr>
          <w:rFonts w:hint="eastAsia" w:ascii="仿宋" w:hAnsi="仿宋" w:eastAsia="仿宋" w:cs="仿宋"/>
          <w:sz w:val="32"/>
          <w:szCs w:val="32"/>
        </w:rPr>
        <w:t>海口市龙华区“个转企”奖补资金</w:t>
      </w:r>
      <w:r>
        <w:rPr>
          <w:rFonts w:hint="eastAsia" w:ascii="仿宋" w:hAnsi="仿宋" w:eastAsia="仿宋" w:cs="仿宋"/>
          <w:bCs/>
          <w:sz w:val="32"/>
          <w:szCs w:val="32"/>
        </w:rPr>
        <w:t>收款账户确认书》；</w:t>
      </w:r>
    </w:p>
    <w:p w14:paraId="1E00AA2F">
      <w:pPr>
        <w:spacing w:after="40"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（三）《承诺书》；</w:t>
      </w:r>
    </w:p>
    <w:p w14:paraId="22D6E3D7">
      <w:pPr>
        <w:spacing w:after="40" w:line="560" w:lineRule="exact"/>
        <w:ind w:firstLine="640" w:firstLineChars="200"/>
        <w:rPr>
          <w:rFonts w:ascii="仿宋" w:hAnsi="仿宋" w:eastAsia="仿宋" w:cs="仿宋"/>
          <w:sz w:val="32"/>
          <w:szCs w:val="32"/>
        </w:rPr>
      </w:pPr>
      <w:r>
        <w:rPr>
          <w:rFonts w:hint="eastAsia" w:ascii="仿宋" w:hAnsi="仿宋" w:eastAsia="仿宋" w:cs="仿宋"/>
          <w:sz w:val="32"/>
          <w:szCs w:val="32"/>
        </w:rPr>
        <w:t>（四）转型企业营业执照复印件（加盖公章）；</w:t>
      </w:r>
    </w:p>
    <w:p w14:paraId="0BCAF170">
      <w:pPr>
        <w:spacing w:after="40" w:line="560" w:lineRule="exact"/>
        <w:ind w:firstLine="640" w:firstLineChars="200"/>
        <w:rPr>
          <w:rFonts w:ascii="仿宋" w:hAnsi="仿宋" w:eastAsia="仿宋" w:cs="仿宋"/>
          <w:bCs/>
          <w:sz w:val="32"/>
          <w:szCs w:val="32"/>
        </w:rPr>
      </w:pPr>
      <w:r>
        <w:rPr>
          <w:rFonts w:hint="eastAsia" w:ascii="仿宋" w:hAnsi="仿宋" w:eastAsia="仿宋" w:cs="仿宋"/>
          <w:sz w:val="32"/>
          <w:szCs w:val="32"/>
        </w:rPr>
        <w:t>（五）</w:t>
      </w:r>
      <w:r>
        <w:rPr>
          <w:rFonts w:hint="eastAsia" w:ascii="仿宋" w:hAnsi="仿宋" w:eastAsia="仿宋" w:cs="仿宋"/>
          <w:bCs/>
          <w:sz w:val="32"/>
          <w:szCs w:val="32"/>
        </w:rPr>
        <w:t>《个体工商户转型为企业证明》复印件；</w:t>
      </w:r>
    </w:p>
    <w:p w14:paraId="15111BF2">
      <w:pPr>
        <w:spacing w:after="40"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（六）转型企业的</w:t>
      </w:r>
      <w:r>
        <w:rPr>
          <w:rFonts w:hint="eastAsia" w:ascii="仿宋" w:hAnsi="仿宋" w:eastAsia="仿宋" w:cs="仿宋"/>
          <w:sz w:val="32"/>
          <w:szCs w:val="32"/>
        </w:rPr>
        <w:t>法定代表人或负责人、执行事务合伙人、委派代表</w:t>
      </w:r>
      <w:r>
        <w:rPr>
          <w:rFonts w:hint="eastAsia" w:ascii="仿宋" w:hAnsi="仿宋" w:eastAsia="仿宋" w:cs="仿宋"/>
          <w:bCs/>
          <w:sz w:val="32"/>
          <w:szCs w:val="32"/>
        </w:rPr>
        <w:t>身份证复印件；委托办理的还需提交经转型企业盖章并由</w:t>
      </w:r>
      <w:r>
        <w:rPr>
          <w:rFonts w:hint="eastAsia" w:ascii="仿宋" w:hAnsi="仿宋" w:eastAsia="仿宋" w:cs="仿宋"/>
          <w:sz w:val="32"/>
          <w:szCs w:val="32"/>
        </w:rPr>
        <w:t>法定代表人或负责人、执行事务合伙人、委派代表</w:t>
      </w:r>
      <w:r>
        <w:rPr>
          <w:rFonts w:hint="eastAsia" w:ascii="仿宋" w:hAnsi="仿宋" w:eastAsia="仿宋" w:cs="仿宋"/>
          <w:bCs/>
          <w:sz w:val="32"/>
          <w:szCs w:val="32"/>
        </w:rPr>
        <w:t>签字的授权委托书原件、代理人身份证复印件；</w:t>
      </w:r>
    </w:p>
    <w:p w14:paraId="60C4FDB4">
      <w:pPr>
        <w:spacing w:after="40"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（七）申请</w:t>
      </w:r>
      <w:r>
        <w:rPr>
          <w:rFonts w:hint="eastAsia" w:ascii="仿宋" w:hAnsi="仿宋" w:eastAsia="仿宋" w:cs="仿宋"/>
          <w:sz w:val="32"/>
          <w:szCs w:val="32"/>
        </w:rPr>
        <w:t>首年度及次年度银行账户管理费用补贴的，提供</w:t>
      </w:r>
      <w:r>
        <w:rPr>
          <w:rFonts w:hint="eastAsia" w:ascii="仿宋" w:hAnsi="仿宋" w:eastAsia="仿宋" w:cs="仿宋"/>
          <w:bCs/>
          <w:sz w:val="32"/>
          <w:szCs w:val="32"/>
        </w:rPr>
        <w:t>银行</w:t>
      </w:r>
      <w:r>
        <w:rPr>
          <w:rFonts w:hint="eastAsia" w:ascii="仿宋" w:hAnsi="仿宋" w:eastAsia="仿宋" w:cs="仿宋"/>
          <w:sz w:val="32"/>
          <w:szCs w:val="32"/>
        </w:rPr>
        <w:t>开具的转型企业银行账户管理费用收款凭证；</w:t>
      </w:r>
    </w:p>
    <w:p w14:paraId="5DD3D71D">
      <w:pPr>
        <w:spacing w:after="40" w:line="56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（八）申请经营激励奖励的，提交转型后连续经营12个月期间的每月财</w:t>
      </w:r>
      <w:r>
        <w:rPr>
          <w:rFonts w:hint="eastAsia" w:ascii="仿宋" w:hAnsi="仿宋" w:eastAsia="仿宋" w:cs="仿宋"/>
          <w:sz w:val="32"/>
          <w:szCs w:val="32"/>
        </w:rPr>
        <w:t>务报表或每季度财务报表、税务部门开具的每季度涉税申报证明、收入证明及有</w:t>
      </w:r>
      <w:r>
        <w:rPr>
          <w:rFonts w:hint="eastAsia" w:ascii="仿宋" w:hAnsi="仿宋" w:eastAsia="仿宋" w:cs="仿宋"/>
          <w:sz w:val="32"/>
          <w:szCs w:val="32"/>
          <w:lang w:val="en-US" w:eastAsia="zh-CN"/>
        </w:rPr>
        <w:t>3</w:t>
      </w:r>
      <w:r>
        <w:rPr>
          <w:rFonts w:hint="eastAsia" w:ascii="仿宋" w:hAnsi="仿宋" w:eastAsia="仿宋" w:cs="仿宋"/>
          <w:sz w:val="32"/>
          <w:szCs w:val="32"/>
        </w:rPr>
        <w:t>个月每个月生产经营业务收入</w:t>
      </w:r>
      <w:r>
        <w:rPr>
          <w:rFonts w:hint="eastAsia" w:ascii="仿宋" w:hAnsi="仿宋" w:eastAsia="仿宋" w:cs="仿宋"/>
          <w:sz w:val="32"/>
          <w:szCs w:val="32"/>
          <w:lang w:eastAsia="zh-CN"/>
        </w:rPr>
        <w:t>超过</w:t>
      </w:r>
      <w:r>
        <w:rPr>
          <w:rFonts w:hint="eastAsia" w:ascii="仿宋" w:hAnsi="仿宋" w:eastAsia="仿宋" w:cs="仿宋"/>
          <w:sz w:val="32"/>
          <w:szCs w:val="32"/>
        </w:rPr>
        <w:t>10万元的发票或银行账户收入流水账和名下有1名或以上人员连续购买社保等凭证；</w:t>
      </w:r>
    </w:p>
    <w:p w14:paraId="6545ADC9">
      <w:pPr>
        <w:spacing w:after="40" w:line="560" w:lineRule="exact"/>
        <w:ind w:firstLine="640" w:firstLineChars="200"/>
        <w:rPr>
          <w:rFonts w:ascii="仿宋" w:hAnsi="仿宋" w:eastAsia="仿宋" w:cs="仿宋"/>
          <w:bCs/>
          <w:sz w:val="32"/>
          <w:szCs w:val="32"/>
        </w:rPr>
      </w:pPr>
      <w:r>
        <w:rPr>
          <w:rFonts w:hint="eastAsia" w:ascii="仿宋" w:hAnsi="仿宋" w:eastAsia="仿宋" w:cs="仿宋"/>
          <w:sz w:val="32"/>
          <w:szCs w:val="32"/>
        </w:rPr>
        <w:t>（九）申请新注册商标奖励的，提供</w:t>
      </w:r>
      <w:r>
        <w:rPr>
          <w:rFonts w:hint="eastAsia" w:ascii="仿宋" w:hAnsi="仿宋" w:eastAsia="仿宋" w:cs="仿宋"/>
          <w:bCs/>
          <w:sz w:val="32"/>
          <w:szCs w:val="32"/>
        </w:rPr>
        <w:t>转型企业注册新商标的核准证明；</w:t>
      </w:r>
    </w:p>
    <w:p w14:paraId="1F51082A">
      <w:pPr>
        <w:spacing w:after="40"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（十）申请驰名商标奖励的，提供认定驰名商标的证明；</w:t>
      </w:r>
    </w:p>
    <w:p w14:paraId="18D2877A">
      <w:pPr>
        <w:spacing w:after="40"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（十一）申请中华老字号奖励的，提供认定中华老字号的证明。</w:t>
      </w:r>
    </w:p>
    <w:p w14:paraId="4C2F222E">
      <w:pPr>
        <w:spacing w:after="4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对转型企业申请新注册商标奖励、驰名商标奖励的，由龙华区市场监督管理部门提交知识产权部门共同审核；申请中华老字号奖励的，由龙华区</w:t>
      </w:r>
      <w:r>
        <w:rPr>
          <w:rFonts w:hint="eastAsia" w:ascii="仿宋" w:hAnsi="仿宋" w:eastAsia="仿宋" w:cs="仿宋"/>
          <w:bCs/>
          <w:sz w:val="32"/>
          <w:szCs w:val="32"/>
        </w:rPr>
        <w:t>市场监督管理部门提交商务部门共同审核。</w:t>
      </w:r>
      <w:r>
        <w:rPr>
          <w:rFonts w:hint="eastAsia" w:ascii="仿宋" w:hAnsi="仿宋" w:eastAsia="仿宋" w:cs="仿宋"/>
          <w:sz w:val="32"/>
          <w:szCs w:val="32"/>
        </w:rPr>
        <w:t>对转型企业申请</w:t>
      </w:r>
      <w:r>
        <w:rPr>
          <w:rFonts w:hint="eastAsia" w:ascii="仿宋" w:hAnsi="仿宋" w:eastAsia="仿宋" w:cs="仿宋"/>
          <w:bCs/>
          <w:sz w:val="32"/>
          <w:szCs w:val="32"/>
        </w:rPr>
        <w:t>经营激励奖励</w:t>
      </w:r>
      <w:r>
        <w:rPr>
          <w:rFonts w:hint="eastAsia" w:ascii="仿宋" w:hAnsi="仿宋" w:eastAsia="仿宋" w:cs="仿宋"/>
          <w:sz w:val="32"/>
          <w:szCs w:val="32"/>
        </w:rPr>
        <w:t>、驰名商标奖励或</w:t>
      </w:r>
      <w:r>
        <w:rPr>
          <w:rFonts w:hint="eastAsia" w:ascii="仿宋" w:hAnsi="仿宋" w:eastAsia="仿宋" w:cs="仿宋"/>
          <w:bCs/>
          <w:sz w:val="32"/>
          <w:szCs w:val="32"/>
        </w:rPr>
        <w:t>中华老字号奖励</w:t>
      </w:r>
      <w:r>
        <w:rPr>
          <w:rFonts w:hint="eastAsia" w:ascii="仿宋" w:hAnsi="仿宋" w:eastAsia="仿宋" w:cs="仿宋"/>
          <w:sz w:val="32"/>
          <w:szCs w:val="32"/>
        </w:rPr>
        <w:t>的，龙华区市场监督管理部门还应同时通过实地核查、公示系统核查等方式对转型企业是否持续经营进行审核。</w:t>
      </w:r>
    </w:p>
    <w:p w14:paraId="0926B3AA">
      <w:pPr>
        <w:spacing w:after="40" w:line="560" w:lineRule="exact"/>
        <w:ind w:firstLine="640" w:firstLineChars="200"/>
        <w:rPr>
          <w:rFonts w:ascii="仿宋" w:hAnsi="仿宋" w:eastAsia="仿宋" w:cs="仿宋"/>
          <w:sz w:val="32"/>
          <w:szCs w:val="32"/>
        </w:rPr>
      </w:pPr>
      <w:r>
        <w:rPr>
          <w:rFonts w:hint="eastAsia" w:ascii="仿宋" w:hAnsi="仿宋" w:eastAsia="仿宋" w:cs="仿宋"/>
          <w:b/>
          <w:bCs/>
          <w:sz w:val="32"/>
          <w:szCs w:val="32"/>
        </w:rPr>
        <w:t>第十七条【审核结果公示】</w:t>
      </w:r>
      <w:r>
        <w:rPr>
          <w:rFonts w:hint="eastAsia" w:ascii="仿宋" w:hAnsi="仿宋" w:eastAsia="仿宋" w:cs="仿宋"/>
          <w:sz w:val="32"/>
          <w:szCs w:val="32"/>
        </w:rPr>
        <w:t>转型企业按本办法提交奖补资金申请材料并经审核通过后</w:t>
      </w:r>
      <w:r>
        <w:rPr>
          <w:rFonts w:ascii="仿宋" w:hAnsi="仿宋" w:eastAsia="仿宋" w:cs="仿宋"/>
          <w:sz w:val="32"/>
          <w:szCs w:val="32"/>
        </w:rPr>
        <w:t>，</w:t>
      </w:r>
      <w:r>
        <w:rPr>
          <w:rFonts w:hint="eastAsia" w:ascii="仿宋" w:hAnsi="仿宋" w:eastAsia="仿宋" w:cs="仿宋"/>
          <w:sz w:val="32"/>
          <w:szCs w:val="32"/>
        </w:rPr>
        <w:t>龙华区市场监督管理部门将结果公示在海口市龙华区人民政府和海口市市场监督管理局官方网站上，公示期为10日</w:t>
      </w:r>
      <w:r>
        <w:rPr>
          <w:rFonts w:ascii="仿宋" w:hAnsi="仿宋" w:eastAsia="仿宋" w:cs="仿宋"/>
          <w:sz w:val="32"/>
          <w:szCs w:val="32"/>
        </w:rPr>
        <w:t>，</w:t>
      </w:r>
      <w:r>
        <w:rPr>
          <w:rFonts w:hint="eastAsia" w:ascii="仿宋" w:hAnsi="仿宋" w:eastAsia="仿宋" w:cs="仿宋"/>
          <w:sz w:val="32"/>
          <w:szCs w:val="32"/>
        </w:rPr>
        <w:t>期满无异议或有异议10日内核实后认定不成立的</w:t>
      </w:r>
      <w:r>
        <w:rPr>
          <w:rFonts w:ascii="仿宋" w:hAnsi="仿宋" w:eastAsia="仿宋" w:cs="仿宋"/>
          <w:sz w:val="32"/>
          <w:szCs w:val="32"/>
        </w:rPr>
        <w:t>，</w:t>
      </w:r>
      <w:r>
        <w:rPr>
          <w:rFonts w:hint="eastAsia" w:ascii="仿宋" w:hAnsi="仿宋" w:eastAsia="仿宋" w:cs="仿宋"/>
          <w:sz w:val="32"/>
          <w:szCs w:val="32"/>
        </w:rPr>
        <w:t>按财务制度规定程序向转型企业发放奖补资金</w:t>
      </w:r>
      <w:r>
        <w:rPr>
          <w:rFonts w:ascii="仿宋" w:hAnsi="仿宋" w:eastAsia="仿宋" w:cs="仿宋"/>
          <w:sz w:val="32"/>
          <w:szCs w:val="32"/>
        </w:rPr>
        <w:t>。</w:t>
      </w:r>
    </w:p>
    <w:p w14:paraId="1B585C12">
      <w:pPr>
        <w:spacing w:after="40" w:line="560" w:lineRule="exact"/>
        <w:ind w:firstLine="640" w:firstLineChars="200"/>
        <w:rPr>
          <w:rFonts w:ascii="仿宋" w:hAnsi="仿宋" w:eastAsia="仿宋" w:cs="仿宋"/>
          <w:sz w:val="32"/>
          <w:szCs w:val="32"/>
        </w:rPr>
      </w:pPr>
      <w:r>
        <w:rPr>
          <w:rFonts w:hint="eastAsia" w:ascii="仿宋" w:hAnsi="仿宋" w:eastAsia="仿宋" w:cs="仿宋"/>
          <w:b/>
          <w:bCs/>
          <w:sz w:val="32"/>
          <w:szCs w:val="32"/>
        </w:rPr>
        <w:t>第十八条【责任追究】</w:t>
      </w:r>
      <w:r>
        <w:rPr>
          <w:rFonts w:hint="eastAsia" w:ascii="仿宋" w:hAnsi="仿宋" w:eastAsia="仿宋" w:cs="仿宋"/>
          <w:sz w:val="32"/>
          <w:szCs w:val="32"/>
        </w:rPr>
        <w:t>在奖补资金申报、审核、管理等过程中，任何组织或个人以虚报、冒领、恶意串通等手段骗取奖补资金的，依法责令其将已获取资金退回，并依照有关法律法规追究相关人员的责任；截留、挤占、挪用奖补资金的，依法追究有关单位和有关人员责任；涉嫌犯罪的，依法移交司法机关处理。</w:t>
      </w:r>
    </w:p>
    <w:p w14:paraId="41249134">
      <w:pPr>
        <w:spacing w:after="40" w:line="560" w:lineRule="exact"/>
        <w:ind w:firstLine="640" w:firstLineChars="200"/>
        <w:rPr>
          <w:rFonts w:ascii="仿宋" w:hAnsi="仿宋" w:eastAsia="仿宋" w:cs="仿宋"/>
          <w:sz w:val="32"/>
          <w:szCs w:val="32"/>
        </w:rPr>
      </w:pPr>
      <w:r>
        <w:rPr>
          <w:rFonts w:hint="eastAsia" w:ascii="仿宋" w:hAnsi="仿宋" w:eastAsia="仿宋" w:cs="仿宋"/>
          <w:b/>
          <w:bCs/>
          <w:sz w:val="32"/>
          <w:szCs w:val="32"/>
        </w:rPr>
        <w:t>第十九条【奖补资金监管】</w:t>
      </w:r>
      <w:r>
        <w:rPr>
          <w:rFonts w:hint="eastAsia" w:ascii="仿宋" w:hAnsi="仿宋" w:eastAsia="仿宋" w:cs="仿宋"/>
          <w:sz w:val="32"/>
          <w:szCs w:val="32"/>
        </w:rPr>
        <w:t>本办法有关奖补资金的使用和管理应当遵守国家的有关法律法规和政策规定，严格执行财政资金管理制度，并接受审计等部门的监督。</w:t>
      </w:r>
    </w:p>
    <w:p w14:paraId="7CCFBCC8">
      <w:pPr>
        <w:spacing w:after="40" w:line="560" w:lineRule="exact"/>
        <w:ind w:firstLine="640" w:firstLineChars="200"/>
        <w:rPr>
          <w:rFonts w:ascii="仿宋" w:hAnsi="仿宋" w:eastAsia="仿宋" w:cs="仿宋"/>
          <w:sz w:val="32"/>
          <w:szCs w:val="32"/>
        </w:rPr>
      </w:pPr>
      <w:r>
        <w:rPr>
          <w:rFonts w:hint="eastAsia" w:ascii="仿宋" w:hAnsi="仿宋" w:eastAsia="仿宋" w:cs="仿宋"/>
          <w:b/>
          <w:bCs/>
          <w:sz w:val="32"/>
          <w:szCs w:val="32"/>
        </w:rPr>
        <w:t>第二十条【解释】</w:t>
      </w:r>
      <w:r>
        <w:rPr>
          <w:rFonts w:hint="eastAsia" w:ascii="仿宋" w:hAnsi="仿宋" w:eastAsia="仿宋" w:cs="仿宋"/>
          <w:sz w:val="32"/>
          <w:szCs w:val="32"/>
        </w:rPr>
        <w:t>本办法由海口市龙华区人民政府负责解释。</w:t>
      </w:r>
    </w:p>
    <w:p w14:paraId="63050D6F">
      <w:pPr>
        <w:spacing w:after="40" w:line="560" w:lineRule="exact"/>
        <w:ind w:firstLine="640" w:firstLineChars="200"/>
        <w:rPr>
          <w:rFonts w:ascii="仿宋" w:hAnsi="仿宋" w:eastAsia="仿宋" w:cs="仿宋"/>
          <w:sz w:val="32"/>
          <w:szCs w:val="32"/>
        </w:rPr>
      </w:pPr>
      <w:r>
        <w:rPr>
          <w:rFonts w:hint="eastAsia" w:ascii="仿宋" w:hAnsi="仿宋" w:eastAsia="仿宋" w:cs="仿宋"/>
          <w:b/>
          <w:bCs/>
          <w:sz w:val="32"/>
          <w:szCs w:val="32"/>
        </w:rPr>
        <w:t>第二十一条【有效期】</w:t>
      </w:r>
      <w:r>
        <w:rPr>
          <w:rFonts w:hint="eastAsia" w:ascii="仿宋" w:hAnsi="仿宋" w:eastAsia="仿宋" w:cs="仿宋"/>
          <w:sz w:val="32"/>
          <w:szCs w:val="32"/>
        </w:rPr>
        <w:t>本办法自2024年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起施行，有效期为3年。本办法有效期内如遇法律、法规或有关政策调整变化的，从其规定。本办法有效期届满后，有效期内已满足奖补条件且已向龙华区市场监督管理部门提交申领材料的，延续适用本办法至执行完毕。</w:t>
      </w:r>
    </w:p>
    <w:p w14:paraId="169E681E">
      <w:pPr>
        <w:spacing w:after="40" w:line="560" w:lineRule="exact"/>
        <w:ind w:firstLine="640" w:firstLineChars="200"/>
        <w:rPr>
          <w:rFonts w:ascii="仿宋" w:hAnsi="仿宋" w:eastAsia="仿宋" w:cs="仿宋"/>
          <w:sz w:val="32"/>
          <w:szCs w:val="32"/>
        </w:rPr>
      </w:pPr>
    </w:p>
    <w:p w14:paraId="0EC3EB7F">
      <w:pPr>
        <w:spacing w:after="40" w:line="560" w:lineRule="exact"/>
        <w:ind w:firstLine="640" w:firstLineChars="200"/>
        <w:rPr>
          <w:rFonts w:ascii="仿宋" w:hAnsi="仿宋" w:eastAsia="仿宋" w:cs="仿宋"/>
          <w:sz w:val="32"/>
          <w:szCs w:val="32"/>
        </w:rPr>
      </w:pPr>
    </w:p>
    <w:p w14:paraId="0DC85A6E">
      <w:pPr>
        <w:pStyle w:val="2"/>
        <w:rPr>
          <w:rFonts w:ascii="仿宋" w:hAnsi="仿宋" w:eastAsia="仿宋" w:cs="仿宋"/>
          <w:sz w:val="32"/>
          <w:szCs w:val="32"/>
        </w:rPr>
      </w:pPr>
    </w:p>
    <w:p w14:paraId="1CE0909F">
      <w:pPr>
        <w:pStyle w:val="2"/>
        <w:rPr>
          <w:rFonts w:ascii="仿宋" w:hAnsi="仿宋" w:eastAsia="仿宋" w:cs="仿宋"/>
          <w:sz w:val="32"/>
          <w:szCs w:val="32"/>
        </w:rPr>
      </w:pPr>
    </w:p>
    <w:p w14:paraId="630837F8">
      <w:pPr>
        <w:pStyle w:val="2"/>
        <w:rPr>
          <w:rFonts w:ascii="仿宋" w:hAnsi="仿宋" w:eastAsia="仿宋" w:cs="仿宋"/>
          <w:sz w:val="32"/>
          <w:szCs w:val="32"/>
        </w:rPr>
      </w:pPr>
    </w:p>
    <w:p w14:paraId="426E4B34">
      <w:pPr>
        <w:pStyle w:val="2"/>
        <w:rPr>
          <w:rFonts w:ascii="仿宋" w:hAnsi="仿宋" w:eastAsia="仿宋" w:cs="仿宋"/>
          <w:sz w:val="32"/>
          <w:szCs w:val="32"/>
        </w:rPr>
      </w:pPr>
    </w:p>
    <w:p w14:paraId="1867507F">
      <w:pPr>
        <w:pStyle w:val="2"/>
        <w:rPr>
          <w:rFonts w:ascii="仿宋" w:hAnsi="仿宋" w:eastAsia="仿宋" w:cs="仿宋"/>
          <w:sz w:val="32"/>
          <w:szCs w:val="32"/>
        </w:rPr>
      </w:pPr>
    </w:p>
    <w:p w14:paraId="2DC2F518">
      <w:pPr>
        <w:pStyle w:val="2"/>
        <w:rPr>
          <w:rFonts w:ascii="仿宋" w:hAnsi="仿宋" w:eastAsia="仿宋" w:cs="仿宋"/>
          <w:sz w:val="32"/>
          <w:szCs w:val="32"/>
        </w:rPr>
      </w:pPr>
    </w:p>
    <w:p w14:paraId="2C8DE3AB">
      <w:pPr>
        <w:pStyle w:val="2"/>
        <w:rPr>
          <w:rFonts w:ascii="仿宋" w:hAnsi="仿宋" w:eastAsia="仿宋" w:cs="仿宋"/>
          <w:sz w:val="32"/>
          <w:szCs w:val="32"/>
        </w:rPr>
      </w:pPr>
    </w:p>
    <w:p w14:paraId="3E0010FC">
      <w:pPr>
        <w:pStyle w:val="2"/>
        <w:rPr>
          <w:rFonts w:ascii="仿宋" w:hAnsi="仿宋" w:eastAsia="仿宋" w:cs="仿宋"/>
          <w:sz w:val="32"/>
          <w:szCs w:val="32"/>
        </w:rPr>
      </w:pPr>
    </w:p>
    <w:p w14:paraId="4AB77869">
      <w:pPr>
        <w:pStyle w:val="2"/>
        <w:rPr>
          <w:rFonts w:ascii="仿宋" w:hAnsi="仿宋" w:eastAsia="仿宋" w:cs="仿宋"/>
          <w:sz w:val="32"/>
          <w:szCs w:val="32"/>
        </w:rPr>
      </w:pPr>
    </w:p>
    <w:p w14:paraId="06AAA1A4">
      <w:pPr>
        <w:pStyle w:val="2"/>
        <w:rPr>
          <w:rFonts w:ascii="仿宋" w:hAnsi="仿宋" w:eastAsia="仿宋" w:cs="仿宋"/>
          <w:sz w:val="32"/>
          <w:szCs w:val="32"/>
        </w:rPr>
      </w:pPr>
    </w:p>
    <w:p w14:paraId="017B0403">
      <w:pPr>
        <w:spacing w:after="180"/>
        <w:jc w:val="left"/>
        <w:rPr>
          <w:rFonts w:ascii="黑体" w:hAnsi="黑体" w:eastAsia="黑体" w:cs="黑体"/>
          <w:sz w:val="32"/>
          <w:szCs w:val="32"/>
          <w:lang w:bidi="zh-TW"/>
        </w:rPr>
      </w:pPr>
      <w:r>
        <w:rPr>
          <w:rFonts w:hint="eastAsia" w:ascii="黑体" w:hAnsi="黑体" w:eastAsia="黑体" w:cs="黑体"/>
          <w:sz w:val="32"/>
          <w:szCs w:val="32"/>
          <w:lang w:bidi="zh-TW"/>
        </w:rPr>
        <w:t>附件1</w:t>
      </w:r>
    </w:p>
    <w:p w14:paraId="5DE994B2">
      <w:pPr>
        <w:spacing w:after="180"/>
        <w:ind w:firstLine="318"/>
        <w:jc w:val="center"/>
        <w:rPr>
          <w:rFonts w:ascii="黑体" w:hAnsi="黑体" w:eastAsia="黑体" w:cs="黑体"/>
          <w:b/>
          <w:bCs/>
          <w:sz w:val="36"/>
          <w:szCs w:val="36"/>
          <w:lang w:val="zh-TW" w:eastAsia="zh-TW" w:bidi="zh-TW"/>
        </w:rPr>
      </w:pPr>
      <w:r>
        <w:rPr>
          <w:rFonts w:hint="eastAsia" w:ascii="黑体" w:hAnsi="黑体" w:eastAsia="黑体" w:cs="黑体"/>
          <w:b/>
          <w:bCs/>
          <w:sz w:val="36"/>
          <w:szCs w:val="36"/>
          <w:lang w:bidi="zh-TW"/>
        </w:rPr>
        <w:t>海口市龙华区</w:t>
      </w:r>
      <w:r>
        <w:rPr>
          <w:rFonts w:hint="eastAsia" w:ascii="黑体" w:hAnsi="黑体" w:eastAsia="黑体" w:cs="黑体"/>
          <w:b/>
          <w:bCs/>
          <w:sz w:val="36"/>
          <w:szCs w:val="36"/>
          <w:lang w:val="zh-CN" w:bidi="zh-CN"/>
        </w:rPr>
        <w:t>“个转</w:t>
      </w:r>
      <w:r>
        <w:rPr>
          <w:rFonts w:hint="eastAsia" w:ascii="黑体" w:hAnsi="黑体" w:eastAsia="黑体" w:cs="黑体"/>
          <w:b/>
          <w:bCs/>
          <w:sz w:val="36"/>
          <w:szCs w:val="36"/>
          <w:lang w:val="zh-TW" w:eastAsia="zh-TW" w:bidi="zh-TW"/>
        </w:rPr>
        <w:t>企”</w:t>
      </w:r>
      <w:r>
        <w:rPr>
          <w:rFonts w:hint="eastAsia" w:ascii="黑体" w:hAnsi="黑体" w:eastAsia="黑体" w:cs="黑体"/>
          <w:b/>
          <w:bCs/>
          <w:sz w:val="36"/>
          <w:szCs w:val="36"/>
          <w:lang w:bidi="zh-TW"/>
        </w:rPr>
        <w:t>奖补资金申请</w:t>
      </w:r>
      <w:r>
        <w:rPr>
          <w:rFonts w:hint="eastAsia" w:ascii="黑体" w:hAnsi="黑体" w:eastAsia="黑体" w:cs="黑体"/>
          <w:b/>
          <w:bCs/>
          <w:sz w:val="36"/>
          <w:szCs w:val="36"/>
          <w:lang w:val="zh-TW" w:eastAsia="zh-TW" w:bidi="zh-TW"/>
        </w:rPr>
        <w:t>表</w:t>
      </w:r>
    </w:p>
    <w:tbl>
      <w:tblPr>
        <w:tblStyle w:val="19"/>
        <w:tblW w:w="9456" w:type="dxa"/>
        <w:jc w:val="center"/>
        <w:tblLayout w:type="fixed"/>
        <w:tblCellMar>
          <w:top w:w="0" w:type="dxa"/>
          <w:left w:w="10" w:type="dxa"/>
          <w:bottom w:w="0" w:type="dxa"/>
          <w:right w:w="10" w:type="dxa"/>
        </w:tblCellMar>
      </w:tblPr>
      <w:tblGrid>
        <w:gridCol w:w="2134"/>
        <w:gridCol w:w="3272"/>
        <w:gridCol w:w="1072"/>
        <w:gridCol w:w="2978"/>
      </w:tblGrid>
      <w:tr w14:paraId="70C8C7D9">
        <w:tblPrEx>
          <w:tblCellMar>
            <w:top w:w="0" w:type="dxa"/>
            <w:left w:w="10" w:type="dxa"/>
            <w:bottom w:w="0" w:type="dxa"/>
            <w:right w:w="10" w:type="dxa"/>
          </w:tblCellMar>
        </w:tblPrEx>
        <w:trPr>
          <w:trHeight w:val="571" w:hRule="exact"/>
          <w:jc w:val="center"/>
        </w:trPr>
        <w:tc>
          <w:tcPr>
            <w:tcW w:w="2134" w:type="dxa"/>
            <w:tcBorders>
              <w:top w:val="single" w:color="auto" w:sz="4" w:space="0"/>
              <w:left w:val="single" w:color="auto" w:sz="4" w:space="0"/>
            </w:tcBorders>
            <w:shd w:val="clear" w:color="auto" w:fill="FFFFFF"/>
            <w:noWrap/>
            <w:vAlign w:val="center"/>
          </w:tcPr>
          <w:p w14:paraId="571F9E87">
            <w:pPr>
              <w:jc w:val="center"/>
              <w:rPr>
                <w:rFonts w:ascii="黑体" w:hAnsi="黑体" w:eastAsia="黑体" w:cs="黑体"/>
                <w:sz w:val="24"/>
                <w:lang w:val="zh-TW" w:eastAsia="zh-TW" w:bidi="zh-TW"/>
              </w:rPr>
            </w:pPr>
            <w:r>
              <w:rPr>
                <w:rFonts w:hint="eastAsia" w:ascii="黑体" w:hAnsi="黑体" w:eastAsia="黑体" w:cs="黑体"/>
                <w:sz w:val="24"/>
                <w:lang w:val="zh-TW" w:eastAsia="zh-TW" w:bidi="zh-TW"/>
              </w:rPr>
              <w:t>企业名称</w:t>
            </w:r>
          </w:p>
        </w:tc>
        <w:tc>
          <w:tcPr>
            <w:tcW w:w="7322" w:type="dxa"/>
            <w:gridSpan w:val="3"/>
            <w:tcBorders>
              <w:top w:val="single" w:color="auto" w:sz="4" w:space="0"/>
              <w:left w:val="single" w:color="auto" w:sz="4" w:space="0"/>
              <w:right w:val="single" w:color="auto" w:sz="4" w:space="0"/>
            </w:tcBorders>
            <w:shd w:val="clear" w:color="auto" w:fill="FFFFFF"/>
            <w:noWrap/>
          </w:tcPr>
          <w:p w14:paraId="0B629679">
            <w:pPr>
              <w:ind w:firstLine="211"/>
              <w:rPr>
                <w:rFonts w:ascii="黑体" w:hAnsi="黑体" w:eastAsia="黑体" w:cs="黑体"/>
                <w:sz w:val="24"/>
              </w:rPr>
            </w:pPr>
          </w:p>
        </w:tc>
      </w:tr>
      <w:tr w14:paraId="6595169B">
        <w:tblPrEx>
          <w:tblCellMar>
            <w:top w:w="0" w:type="dxa"/>
            <w:left w:w="10" w:type="dxa"/>
            <w:bottom w:w="0" w:type="dxa"/>
            <w:right w:w="10" w:type="dxa"/>
          </w:tblCellMar>
        </w:tblPrEx>
        <w:trPr>
          <w:trHeight w:val="562" w:hRule="exact"/>
          <w:jc w:val="center"/>
        </w:trPr>
        <w:tc>
          <w:tcPr>
            <w:tcW w:w="2134" w:type="dxa"/>
            <w:tcBorders>
              <w:top w:val="single" w:color="auto" w:sz="4" w:space="0"/>
              <w:left w:val="single" w:color="auto" w:sz="4" w:space="0"/>
            </w:tcBorders>
            <w:shd w:val="clear" w:color="auto" w:fill="FFFFFF"/>
            <w:noWrap/>
            <w:vAlign w:val="center"/>
          </w:tcPr>
          <w:p w14:paraId="2A0DF878">
            <w:pPr>
              <w:spacing w:line="255" w:lineRule="exact"/>
              <w:jc w:val="center"/>
              <w:rPr>
                <w:rFonts w:ascii="黑体" w:hAnsi="黑体" w:eastAsia="黑体" w:cs="黑体"/>
                <w:sz w:val="24"/>
                <w:lang w:val="zh-TW" w:eastAsia="zh-TW" w:bidi="zh-TW"/>
              </w:rPr>
            </w:pPr>
            <w:r>
              <w:rPr>
                <w:rFonts w:hint="eastAsia" w:ascii="黑体" w:hAnsi="黑体" w:eastAsia="黑体" w:cs="黑体"/>
                <w:sz w:val="24"/>
                <w:lang w:val="zh-TW" w:eastAsia="zh-TW" w:bidi="zh-TW"/>
              </w:rPr>
              <w:t>统一社会信用代码</w:t>
            </w:r>
          </w:p>
        </w:tc>
        <w:tc>
          <w:tcPr>
            <w:tcW w:w="3272" w:type="dxa"/>
            <w:tcBorders>
              <w:top w:val="single" w:color="auto" w:sz="4" w:space="0"/>
              <w:left w:val="single" w:color="auto" w:sz="4" w:space="0"/>
            </w:tcBorders>
            <w:shd w:val="clear" w:color="auto" w:fill="FFFFFF"/>
            <w:noWrap/>
          </w:tcPr>
          <w:p w14:paraId="604B04E7">
            <w:pPr>
              <w:ind w:firstLine="211"/>
              <w:rPr>
                <w:rFonts w:ascii="黑体" w:hAnsi="黑体" w:eastAsia="黑体" w:cs="黑体"/>
                <w:sz w:val="24"/>
              </w:rPr>
            </w:pPr>
          </w:p>
        </w:tc>
        <w:tc>
          <w:tcPr>
            <w:tcW w:w="1072" w:type="dxa"/>
            <w:tcBorders>
              <w:top w:val="single" w:color="auto" w:sz="4" w:space="0"/>
              <w:left w:val="single" w:color="auto" w:sz="4" w:space="0"/>
            </w:tcBorders>
            <w:shd w:val="clear" w:color="auto" w:fill="FFFFFF"/>
            <w:noWrap/>
            <w:vAlign w:val="center"/>
          </w:tcPr>
          <w:p w14:paraId="165E8841">
            <w:pPr>
              <w:jc w:val="center"/>
              <w:rPr>
                <w:rFonts w:ascii="黑体" w:hAnsi="黑体" w:eastAsia="黑体" w:cs="黑体"/>
                <w:sz w:val="24"/>
                <w:lang w:val="zh-TW" w:bidi="zh-TW"/>
              </w:rPr>
            </w:pPr>
            <w:r>
              <w:rPr>
                <w:rFonts w:hint="eastAsia" w:ascii="黑体" w:hAnsi="黑体" w:eastAsia="黑体" w:cs="黑体"/>
                <w:sz w:val="24"/>
                <w:lang w:val="zh-TW" w:bidi="zh-TW"/>
              </w:rPr>
              <w:t>企业类型</w:t>
            </w:r>
          </w:p>
        </w:tc>
        <w:tc>
          <w:tcPr>
            <w:tcW w:w="2978" w:type="dxa"/>
            <w:tcBorders>
              <w:top w:val="single" w:color="auto" w:sz="4" w:space="0"/>
              <w:left w:val="single" w:color="auto" w:sz="4" w:space="0"/>
              <w:right w:val="single" w:color="auto" w:sz="4" w:space="0"/>
            </w:tcBorders>
            <w:shd w:val="clear" w:color="auto" w:fill="FFFFFF"/>
            <w:noWrap/>
          </w:tcPr>
          <w:p w14:paraId="58ECA2D2">
            <w:pPr>
              <w:ind w:firstLine="246"/>
              <w:rPr>
                <w:rFonts w:ascii="黑体" w:hAnsi="黑体" w:eastAsia="黑体" w:cs="黑体"/>
                <w:sz w:val="28"/>
                <w:szCs w:val="28"/>
              </w:rPr>
            </w:pPr>
          </w:p>
        </w:tc>
      </w:tr>
      <w:tr w14:paraId="1CBE2C82">
        <w:tblPrEx>
          <w:tblCellMar>
            <w:top w:w="0" w:type="dxa"/>
            <w:left w:w="10" w:type="dxa"/>
            <w:bottom w:w="0" w:type="dxa"/>
            <w:right w:w="10" w:type="dxa"/>
          </w:tblCellMar>
        </w:tblPrEx>
        <w:trPr>
          <w:trHeight w:val="504" w:hRule="exact"/>
          <w:jc w:val="center"/>
        </w:trPr>
        <w:tc>
          <w:tcPr>
            <w:tcW w:w="2134" w:type="dxa"/>
            <w:tcBorders>
              <w:top w:val="single" w:color="auto" w:sz="4" w:space="0"/>
              <w:left w:val="single" w:color="auto" w:sz="4" w:space="0"/>
            </w:tcBorders>
            <w:shd w:val="clear" w:color="auto" w:fill="FFFFFF"/>
            <w:noWrap/>
            <w:vAlign w:val="center"/>
          </w:tcPr>
          <w:p w14:paraId="4CB6AB77">
            <w:pPr>
              <w:spacing w:line="255" w:lineRule="exact"/>
              <w:jc w:val="both"/>
              <w:rPr>
                <w:rFonts w:ascii="黑体" w:hAnsi="黑体" w:eastAsia="黑体" w:cs="黑体"/>
                <w:sz w:val="24"/>
                <w:lang w:val="zh-TW" w:eastAsia="zh-TW" w:bidi="zh-TW"/>
              </w:rPr>
            </w:pPr>
            <w:r>
              <w:rPr>
                <w:rFonts w:hint="eastAsia" w:ascii="黑体" w:hAnsi="黑体" w:eastAsia="黑体" w:cs="黑体"/>
                <w:sz w:val="24"/>
                <w:lang w:val="zh-TW" w:bidi="zh-TW"/>
              </w:rPr>
              <w:t>住所（或经营场所）</w:t>
            </w:r>
          </w:p>
        </w:tc>
        <w:tc>
          <w:tcPr>
            <w:tcW w:w="7322" w:type="dxa"/>
            <w:gridSpan w:val="3"/>
            <w:tcBorders>
              <w:top w:val="single" w:color="auto" w:sz="4" w:space="0"/>
              <w:left w:val="single" w:color="auto" w:sz="4" w:space="0"/>
              <w:right w:val="single" w:color="auto" w:sz="4" w:space="0"/>
            </w:tcBorders>
            <w:shd w:val="clear" w:color="auto" w:fill="FFFFFF"/>
            <w:noWrap/>
          </w:tcPr>
          <w:p w14:paraId="5460C7CA">
            <w:pPr>
              <w:ind w:firstLine="246"/>
              <w:jc w:val="both"/>
              <w:rPr>
                <w:rFonts w:ascii="黑体" w:hAnsi="黑体" w:eastAsia="黑体" w:cs="黑体"/>
                <w:sz w:val="28"/>
                <w:szCs w:val="28"/>
              </w:rPr>
            </w:pPr>
          </w:p>
        </w:tc>
      </w:tr>
      <w:tr w14:paraId="22925199">
        <w:tblPrEx>
          <w:tblCellMar>
            <w:top w:w="0" w:type="dxa"/>
            <w:left w:w="10" w:type="dxa"/>
            <w:bottom w:w="0" w:type="dxa"/>
            <w:right w:w="10" w:type="dxa"/>
          </w:tblCellMar>
        </w:tblPrEx>
        <w:trPr>
          <w:trHeight w:val="1522" w:hRule="exact"/>
          <w:jc w:val="center"/>
        </w:trPr>
        <w:tc>
          <w:tcPr>
            <w:tcW w:w="2134" w:type="dxa"/>
            <w:tcBorders>
              <w:top w:val="single" w:color="auto" w:sz="4" w:space="0"/>
              <w:left w:val="single" w:color="auto" w:sz="4" w:space="0"/>
            </w:tcBorders>
            <w:shd w:val="clear" w:color="auto" w:fill="FFFFFF"/>
            <w:noWrap/>
            <w:vAlign w:val="center"/>
          </w:tcPr>
          <w:p w14:paraId="5DA9F69E">
            <w:pPr>
              <w:spacing w:after="80"/>
              <w:jc w:val="center"/>
              <w:rPr>
                <w:rFonts w:ascii="黑体" w:hAnsi="黑体" w:eastAsia="黑体" w:cs="黑体"/>
                <w:sz w:val="24"/>
                <w:lang w:val="zh-TW" w:eastAsia="zh-TW" w:bidi="zh-TW"/>
              </w:rPr>
            </w:pPr>
            <w:r>
              <w:rPr>
                <w:rFonts w:hint="eastAsia" w:ascii="黑体" w:hAnsi="黑体" w:eastAsia="黑体" w:cs="黑体"/>
                <w:sz w:val="24"/>
                <w:lang w:val="zh-TW" w:eastAsia="zh-TW" w:bidi="zh-TW"/>
              </w:rPr>
              <w:t>法定</w:t>
            </w:r>
            <w:r>
              <w:rPr>
                <w:rFonts w:hint="eastAsia" w:ascii="黑体" w:hAnsi="黑体" w:eastAsia="黑体" w:cs="黑体"/>
                <w:sz w:val="24"/>
                <w:lang w:bidi="zh-TW"/>
              </w:rPr>
              <w:t>代表</w:t>
            </w:r>
            <w:r>
              <w:rPr>
                <w:rFonts w:hint="eastAsia" w:ascii="黑体" w:hAnsi="黑体" w:eastAsia="黑体" w:cs="黑体"/>
                <w:sz w:val="24"/>
                <w:lang w:val="zh-TW" w:eastAsia="zh-TW" w:bidi="zh-TW"/>
              </w:rPr>
              <w:t>人</w:t>
            </w:r>
            <w:r>
              <w:rPr>
                <w:rFonts w:hint="eastAsia" w:ascii="黑体" w:hAnsi="黑体" w:eastAsia="黑体" w:cs="黑体"/>
                <w:sz w:val="24"/>
                <w:lang w:bidi="zh-TW"/>
              </w:rPr>
              <w:t>/负责人/</w:t>
            </w:r>
            <w:r>
              <w:rPr>
                <w:rFonts w:hint="eastAsia" w:ascii="黑体" w:hAnsi="黑体" w:eastAsia="黑体" w:cs="黑体"/>
                <w:sz w:val="24"/>
                <w:lang w:val="zh-TW" w:bidi="zh-TW"/>
              </w:rPr>
              <w:t>执行事务合伙人</w:t>
            </w:r>
            <w:r>
              <w:rPr>
                <w:rFonts w:hint="eastAsia" w:ascii="黑体" w:hAnsi="黑体" w:eastAsia="黑体" w:cs="黑体"/>
                <w:sz w:val="24"/>
                <w:lang w:bidi="zh-TW"/>
              </w:rPr>
              <w:t>/</w:t>
            </w:r>
            <w:r>
              <w:rPr>
                <w:rFonts w:hint="eastAsia" w:ascii="黑体" w:hAnsi="黑体" w:eastAsia="黑体" w:cs="黑体"/>
                <w:sz w:val="24"/>
                <w:lang w:val="zh-TW" w:bidi="zh-TW"/>
              </w:rPr>
              <w:t>委派代表</w:t>
            </w:r>
          </w:p>
        </w:tc>
        <w:tc>
          <w:tcPr>
            <w:tcW w:w="3272" w:type="dxa"/>
            <w:tcBorders>
              <w:top w:val="single" w:color="auto" w:sz="4" w:space="0"/>
              <w:left w:val="single" w:color="auto" w:sz="4" w:space="0"/>
            </w:tcBorders>
            <w:shd w:val="clear" w:color="auto" w:fill="FFFFFF"/>
            <w:noWrap/>
          </w:tcPr>
          <w:p w14:paraId="77BDCECE">
            <w:pPr>
              <w:ind w:firstLine="211"/>
              <w:rPr>
                <w:rFonts w:ascii="黑体" w:hAnsi="黑体" w:eastAsia="黑体" w:cs="黑体"/>
                <w:sz w:val="24"/>
              </w:rPr>
            </w:pPr>
          </w:p>
          <w:p w14:paraId="3C65FC03">
            <w:pPr>
              <w:ind w:firstLine="240" w:firstLineChars="100"/>
              <w:rPr>
                <w:rFonts w:ascii="黑体" w:hAnsi="黑体" w:eastAsia="黑体" w:cs="黑体"/>
                <w:sz w:val="24"/>
              </w:rPr>
            </w:pPr>
            <w:r>
              <w:rPr>
                <w:rFonts w:hint="eastAsia" w:ascii="黑体" w:hAnsi="黑体" w:eastAsia="黑体" w:cs="黑体"/>
                <w:sz w:val="24"/>
              </w:rPr>
              <w:t>姓名：</w:t>
            </w:r>
          </w:p>
          <w:p w14:paraId="304CBCF7">
            <w:pPr>
              <w:widowControl/>
              <w:spacing w:before="240" w:after="60" w:line="560" w:lineRule="exact"/>
              <w:jc w:val="left"/>
              <w:outlineLvl w:val="0"/>
              <w:rPr>
                <w:rFonts w:ascii="Arial" w:hAnsi="Arial" w:eastAsia="华文中宋" w:cs="Arial"/>
                <w:b/>
                <w:bCs/>
                <w:color w:val="FF0000"/>
                <w:kern w:val="0"/>
                <w:sz w:val="84"/>
                <w:szCs w:val="84"/>
              </w:rPr>
            </w:pPr>
            <w:r>
              <w:rPr>
                <w:rFonts w:hint="eastAsia" w:ascii="黑体" w:hAnsi="黑体" w:eastAsia="黑体" w:cs="黑体"/>
                <w:bCs/>
                <w:color w:val="auto"/>
                <w:sz w:val="24"/>
              </w:rPr>
              <w:t>联系电话：</w:t>
            </w:r>
          </w:p>
        </w:tc>
        <w:tc>
          <w:tcPr>
            <w:tcW w:w="1072" w:type="dxa"/>
            <w:tcBorders>
              <w:top w:val="single" w:color="auto" w:sz="4" w:space="0"/>
              <w:left w:val="single" w:color="auto" w:sz="4" w:space="0"/>
            </w:tcBorders>
            <w:shd w:val="clear" w:color="auto" w:fill="FFFFFF"/>
            <w:noWrap/>
            <w:vAlign w:val="center"/>
          </w:tcPr>
          <w:p w14:paraId="7EA39684">
            <w:pPr>
              <w:jc w:val="center"/>
              <w:rPr>
                <w:rFonts w:ascii="黑体" w:hAnsi="黑体" w:eastAsia="黑体" w:cs="黑体"/>
                <w:sz w:val="24"/>
                <w:lang w:val="zh-TW" w:eastAsia="zh-TW" w:bidi="zh-TW"/>
              </w:rPr>
            </w:pPr>
            <w:r>
              <w:rPr>
                <w:rFonts w:hint="eastAsia" w:ascii="黑体" w:hAnsi="黑体" w:eastAsia="黑体" w:cs="黑体"/>
                <w:sz w:val="24"/>
                <w:lang w:bidi="zh-TW"/>
              </w:rPr>
              <w:t>转型为企业</w:t>
            </w:r>
            <w:r>
              <w:rPr>
                <w:rFonts w:hint="eastAsia" w:ascii="黑体" w:hAnsi="黑体" w:eastAsia="黑体" w:cs="黑体"/>
                <w:sz w:val="24"/>
                <w:lang w:val="zh-TW" w:eastAsia="zh-TW" w:bidi="zh-TW"/>
              </w:rPr>
              <w:t>时间</w:t>
            </w:r>
          </w:p>
        </w:tc>
        <w:tc>
          <w:tcPr>
            <w:tcW w:w="2978" w:type="dxa"/>
            <w:tcBorders>
              <w:top w:val="single" w:color="auto" w:sz="4" w:space="0"/>
              <w:left w:val="single" w:color="auto" w:sz="4" w:space="0"/>
              <w:right w:val="single" w:color="auto" w:sz="4" w:space="0"/>
            </w:tcBorders>
            <w:shd w:val="clear" w:color="auto" w:fill="FFFFFF"/>
            <w:noWrap/>
          </w:tcPr>
          <w:p w14:paraId="443B6FF6">
            <w:pPr>
              <w:ind w:firstLine="246"/>
              <w:rPr>
                <w:rFonts w:ascii="黑体" w:hAnsi="黑体" w:eastAsia="黑体" w:cs="黑体"/>
                <w:sz w:val="28"/>
                <w:szCs w:val="28"/>
              </w:rPr>
            </w:pPr>
          </w:p>
        </w:tc>
      </w:tr>
      <w:tr w14:paraId="58E5F15A">
        <w:tblPrEx>
          <w:tblCellMar>
            <w:top w:w="0" w:type="dxa"/>
            <w:left w:w="10" w:type="dxa"/>
            <w:bottom w:w="0" w:type="dxa"/>
            <w:right w:w="10" w:type="dxa"/>
          </w:tblCellMar>
        </w:tblPrEx>
        <w:trPr>
          <w:trHeight w:val="663" w:hRule="exact"/>
          <w:jc w:val="center"/>
        </w:trPr>
        <w:tc>
          <w:tcPr>
            <w:tcW w:w="2134" w:type="dxa"/>
            <w:tcBorders>
              <w:top w:val="single" w:color="auto" w:sz="4" w:space="0"/>
              <w:left w:val="single" w:color="auto" w:sz="4" w:space="0"/>
            </w:tcBorders>
            <w:shd w:val="clear" w:color="auto" w:fill="FFFFFF"/>
            <w:noWrap/>
            <w:vAlign w:val="center"/>
          </w:tcPr>
          <w:p w14:paraId="1AB39D35">
            <w:pPr>
              <w:ind w:firstLine="211"/>
              <w:jc w:val="center"/>
              <w:rPr>
                <w:rFonts w:ascii="黑体" w:hAnsi="黑体" w:eastAsia="黑体" w:cs="黑体"/>
                <w:sz w:val="24"/>
                <w:lang w:val="zh-TW" w:eastAsia="zh-TW" w:bidi="zh-TW"/>
              </w:rPr>
            </w:pPr>
            <w:r>
              <w:rPr>
                <w:rFonts w:hint="eastAsia" w:ascii="黑体" w:hAnsi="黑体" w:eastAsia="黑体" w:cs="黑体"/>
                <w:sz w:val="24"/>
                <w:lang w:val="zh-TW" w:eastAsia="zh-TW" w:bidi="zh-TW"/>
              </w:rPr>
              <w:t>联系人</w:t>
            </w:r>
          </w:p>
        </w:tc>
        <w:tc>
          <w:tcPr>
            <w:tcW w:w="3272" w:type="dxa"/>
            <w:tcBorders>
              <w:top w:val="single" w:color="auto" w:sz="4" w:space="0"/>
              <w:left w:val="single" w:color="auto" w:sz="4" w:space="0"/>
            </w:tcBorders>
            <w:shd w:val="clear" w:color="auto" w:fill="FFFFFF"/>
            <w:noWrap/>
          </w:tcPr>
          <w:p w14:paraId="2FD62635">
            <w:pPr>
              <w:ind w:firstLine="211"/>
              <w:rPr>
                <w:rFonts w:ascii="黑体" w:hAnsi="黑体" w:eastAsia="黑体" w:cs="黑体"/>
                <w:sz w:val="24"/>
              </w:rPr>
            </w:pPr>
          </w:p>
        </w:tc>
        <w:tc>
          <w:tcPr>
            <w:tcW w:w="1072" w:type="dxa"/>
            <w:tcBorders>
              <w:top w:val="single" w:color="auto" w:sz="4" w:space="0"/>
              <w:left w:val="single" w:color="auto" w:sz="4" w:space="0"/>
            </w:tcBorders>
            <w:shd w:val="clear" w:color="auto" w:fill="FFFFFF"/>
            <w:noWrap/>
            <w:vAlign w:val="center"/>
          </w:tcPr>
          <w:p w14:paraId="7499114C">
            <w:pPr>
              <w:jc w:val="center"/>
              <w:rPr>
                <w:rFonts w:ascii="黑体" w:hAnsi="黑体" w:eastAsia="黑体" w:cs="黑体"/>
                <w:sz w:val="24"/>
                <w:lang w:val="zh-TW" w:eastAsia="zh-TW" w:bidi="zh-TW"/>
              </w:rPr>
            </w:pPr>
            <w:r>
              <w:rPr>
                <w:rFonts w:hint="eastAsia" w:ascii="黑体" w:hAnsi="黑体" w:eastAsia="黑体" w:cs="黑体"/>
                <w:sz w:val="24"/>
                <w:lang w:val="zh-TW" w:eastAsia="zh-TW" w:bidi="zh-TW"/>
              </w:rPr>
              <w:t>联系电话</w:t>
            </w:r>
          </w:p>
        </w:tc>
        <w:tc>
          <w:tcPr>
            <w:tcW w:w="2978" w:type="dxa"/>
            <w:tcBorders>
              <w:top w:val="single" w:color="auto" w:sz="4" w:space="0"/>
              <w:left w:val="single" w:color="auto" w:sz="4" w:space="0"/>
              <w:right w:val="single" w:color="auto" w:sz="4" w:space="0"/>
            </w:tcBorders>
            <w:shd w:val="clear" w:color="auto" w:fill="FFFFFF"/>
            <w:noWrap/>
          </w:tcPr>
          <w:p w14:paraId="77BA30BE">
            <w:pPr>
              <w:ind w:firstLine="246"/>
              <w:rPr>
                <w:rFonts w:ascii="黑体" w:hAnsi="黑体" w:eastAsia="黑体" w:cs="黑体"/>
                <w:sz w:val="28"/>
                <w:szCs w:val="28"/>
              </w:rPr>
            </w:pPr>
          </w:p>
        </w:tc>
      </w:tr>
      <w:tr w14:paraId="794EBB19">
        <w:tblPrEx>
          <w:tblCellMar>
            <w:top w:w="0" w:type="dxa"/>
            <w:left w:w="10" w:type="dxa"/>
            <w:bottom w:w="0" w:type="dxa"/>
            <w:right w:w="10" w:type="dxa"/>
          </w:tblCellMar>
        </w:tblPrEx>
        <w:trPr>
          <w:trHeight w:val="1177" w:hRule="exact"/>
          <w:jc w:val="center"/>
        </w:trPr>
        <w:tc>
          <w:tcPr>
            <w:tcW w:w="2134" w:type="dxa"/>
            <w:tcBorders>
              <w:top w:val="single" w:color="auto" w:sz="4" w:space="0"/>
              <w:left w:val="single" w:color="auto" w:sz="4" w:space="0"/>
              <w:bottom w:val="single" w:color="auto" w:sz="4" w:space="0"/>
            </w:tcBorders>
            <w:shd w:val="clear" w:color="auto" w:fill="FFFFFF"/>
            <w:noWrap/>
            <w:vAlign w:val="center"/>
          </w:tcPr>
          <w:p w14:paraId="3377B03E">
            <w:pPr>
              <w:spacing w:line="285" w:lineRule="exact"/>
              <w:jc w:val="center"/>
              <w:rPr>
                <w:rFonts w:ascii="黑体" w:hAnsi="黑体" w:eastAsia="黑体" w:cs="黑体"/>
                <w:sz w:val="24"/>
                <w:lang w:val="zh-TW" w:eastAsia="zh-TW" w:bidi="zh-TW"/>
              </w:rPr>
            </w:pPr>
            <w:r>
              <w:rPr>
                <w:rFonts w:hint="eastAsia" w:ascii="黑体" w:hAnsi="黑体" w:eastAsia="黑体" w:cs="黑体"/>
                <w:sz w:val="24"/>
                <w:lang w:val="zh-TW" w:eastAsia="zh-TW" w:bidi="zh-TW"/>
              </w:rPr>
              <w:t>原个体工商户名称</w:t>
            </w:r>
          </w:p>
        </w:tc>
        <w:tc>
          <w:tcPr>
            <w:tcW w:w="3272" w:type="dxa"/>
            <w:tcBorders>
              <w:top w:val="single" w:color="auto" w:sz="4" w:space="0"/>
              <w:left w:val="single" w:color="auto" w:sz="4" w:space="0"/>
              <w:bottom w:val="single" w:color="auto" w:sz="4" w:space="0"/>
            </w:tcBorders>
            <w:shd w:val="clear" w:color="auto" w:fill="FFFFFF"/>
            <w:noWrap/>
          </w:tcPr>
          <w:p w14:paraId="4DCA7D02">
            <w:pPr>
              <w:ind w:firstLine="211"/>
              <w:rPr>
                <w:rFonts w:ascii="黑体" w:hAnsi="黑体" w:eastAsia="黑体" w:cs="黑体"/>
                <w:sz w:val="24"/>
              </w:rPr>
            </w:pPr>
          </w:p>
        </w:tc>
        <w:tc>
          <w:tcPr>
            <w:tcW w:w="1072" w:type="dxa"/>
            <w:tcBorders>
              <w:top w:val="single" w:color="auto" w:sz="4" w:space="0"/>
              <w:left w:val="single" w:color="auto" w:sz="4" w:space="0"/>
              <w:bottom w:val="single" w:color="auto" w:sz="4" w:space="0"/>
            </w:tcBorders>
            <w:shd w:val="clear" w:color="auto" w:fill="FFFFFF"/>
            <w:noWrap/>
            <w:vAlign w:val="center"/>
          </w:tcPr>
          <w:p w14:paraId="1CEB5D18">
            <w:pPr>
              <w:spacing w:line="285" w:lineRule="exact"/>
              <w:jc w:val="center"/>
              <w:rPr>
                <w:rFonts w:ascii="黑体" w:hAnsi="黑体" w:eastAsia="黑体" w:cs="黑体"/>
                <w:sz w:val="24"/>
                <w:lang w:val="zh-TW" w:eastAsia="zh-TW" w:bidi="zh-TW"/>
              </w:rPr>
            </w:pPr>
            <w:r>
              <w:rPr>
                <w:rFonts w:hint="eastAsia" w:ascii="黑体" w:hAnsi="黑体" w:eastAsia="黑体" w:cs="黑体"/>
                <w:sz w:val="24"/>
                <w:lang w:val="zh-TW" w:eastAsia="zh-TW" w:bidi="zh-TW"/>
              </w:rPr>
              <w:t>原个体工商户成立时间</w:t>
            </w:r>
          </w:p>
        </w:tc>
        <w:tc>
          <w:tcPr>
            <w:tcW w:w="2978" w:type="dxa"/>
            <w:tcBorders>
              <w:top w:val="single" w:color="auto" w:sz="4" w:space="0"/>
              <w:left w:val="single" w:color="auto" w:sz="4" w:space="0"/>
              <w:bottom w:val="single" w:color="auto" w:sz="4" w:space="0"/>
              <w:right w:val="single" w:color="auto" w:sz="4" w:space="0"/>
            </w:tcBorders>
            <w:shd w:val="clear" w:color="auto" w:fill="FFFFFF"/>
            <w:noWrap/>
          </w:tcPr>
          <w:p w14:paraId="6505B7EB">
            <w:pPr>
              <w:ind w:firstLine="246"/>
              <w:rPr>
                <w:rFonts w:ascii="黑体" w:hAnsi="黑体" w:eastAsia="黑体" w:cs="黑体"/>
                <w:sz w:val="28"/>
                <w:szCs w:val="28"/>
              </w:rPr>
            </w:pPr>
          </w:p>
        </w:tc>
      </w:tr>
      <w:tr w14:paraId="15545708">
        <w:tblPrEx>
          <w:tblCellMar>
            <w:top w:w="0" w:type="dxa"/>
            <w:left w:w="10" w:type="dxa"/>
            <w:bottom w:w="0" w:type="dxa"/>
            <w:right w:w="10" w:type="dxa"/>
          </w:tblCellMar>
        </w:tblPrEx>
        <w:trPr>
          <w:trHeight w:val="953" w:hRule="exact"/>
          <w:jc w:val="center"/>
        </w:trPr>
        <w:tc>
          <w:tcPr>
            <w:tcW w:w="2134" w:type="dxa"/>
            <w:tcBorders>
              <w:top w:val="single" w:color="auto" w:sz="4" w:space="0"/>
              <w:left w:val="single" w:color="auto" w:sz="4" w:space="0"/>
              <w:bottom w:val="single" w:color="auto" w:sz="4" w:space="0"/>
            </w:tcBorders>
            <w:shd w:val="clear" w:color="auto" w:fill="FFFFFF"/>
            <w:noWrap/>
            <w:vAlign w:val="center"/>
          </w:tcPr>
          <w:p w14:paraId="072A9FE5">
            <w:pPr>
              <w:spacing w:line="285" w:lineRule="exact"/>
              <w:jc w:val="center"/>
              <w:rPr>
                <w:rFonts w:ascii="黑体" w:hAnsi="黑体" w:eastAsia="黑体" w:cs="黑体"/>
                <w:sz w:val="24"/>
                <w:lang w:bidi="zh-TW"/>
              </w:rPr>
            </w:pPr>
            <w:r>
              <w:rPr>
                <w:rFonts w:hint="eastAsia" w:ascii="黑体" w:hAnsi="黑体" w:eastAsia="黑体" w:cs="黑体"/>
                <w:sz w:val="24"/>
                <w:lang w:bidi="zh-TW"/>
              </w:rPr>
              <w:t>申请奖补种类</w:t>
            </w:r>
          </w:p>
        </w:tc>
        <w:tc>
          <w:tcPr>
            <w:tcW w:w="3272" w:type="dxa"/>
            <w:tcBorders>
              <w:top w:val="single" w:color="auto" w:sz="4" w:space="0"/>
              <w:left w:val="single" w:color="auto" w:sz="4" w:space="0"/>
              <w:bottom w:val="single" w:color="auto" w:sz="4" w:space="0"/>
            </w:tcBorders>
            <w:shd w:val="clear" w:color="auto" w:fill="FFFFFF"/>
            <w:noWrap/>
          </w:tcPr>
          <w:p w14:paraId="772778C8">
            <w:pPr>
              <w:ind w:firstLine="211"/>
              <w:rPr>
                <w:rFonts w:ascii="黑体" w:hAnsi="黑体" w:eastAsia="黑体" w:cs="黑体"/>
                <w:sz w:val="24"/>
              </w:rPr>
            </w:pPr>
          </w:p>
        </w:tc>
        <w:tc>
          <w:tcPr>
            <w:tcW w:w="1072" w:type="dxa"/>
            <w:tcBorders>
              <w:top w:val="single" w:color="auto" w:sz="4" w:space="0"/>
              <w:left w:val="single" w:color="auto" w:sz="4" w:space="0"/>
              <w:bottom w:val="single" w:color="auto" w:sz="4" w:space="0"/>
            </w:tcBorders>
            <w:shd w:val="clear" w:color="auto" w:fill="FFFFFF"/>
            <w:noWrap/>
            <w:vAlign w:val="center"/>
          </w:tcPr>
          <w:p w14:paraId="08302899">
            <w:pPr>
              <w:spacing w:line="285" w:lineRule="exact"/>
              <w:jc w:val="center"/>
              <w:rPr>
                <w:rFonts w:ascii="黑体" w:hAnsi="黑体" w:eastAsia="黑体" w:cs="黑体"/>
                <w:sz w:val="24"/>
                <w:lang w:val="zh-TW" w:bidi="zh-TW"/>
              </w:rPr>
            </w:pPr>
            <w:r>
              <w:rPr>
                <w:rFonts w:hint="eastAsia" w:ascii="黑体" w:hAnsi="黑体" w:eastAsia="黑体" w:cs="黑体"/>
                <w:sz w:val="24"/>
                <w:lang w:val="zh-TW" w:bidi="zh-TW"/>
              </w:rPr>
              <w:t>申请奖补金额（元）</w:t>
            </w:r>
          </w:p>
        </w:tc>
        <w:tc>
          <w:tcPr>
            <w:tcW w:w="2978" w:type="dxa"/>
            <w:tcBorders>
              <w:top w:val="single" w:color="auto" w:sz="4" w:space="0"/>
              <w:left w:val="single" w:color="auto" w:sz="4" w:space="0"/>
              <w:bottom w:val="single" w:color="auto" w:sz="4" w:space="0"/>
              <w:right w:val="single" w:color="auto" w:sz="4" w:space="0"/>
            </w:tcBorders>
            <w:shd w:val="clear" w:color="auto" w:fill="FFFFFF"/>
            <w:noWrap/>
          </w:tcPr>
          <w:p w14:paraId="2F32C89F">
            <w:pPr>
              <w:spacing w:line="285" w:lineRule="exact"/>
              <w:ind w:firstLine="211"/>
              <w:jc w:val="left"/>
              <w:rPr>
                <w:rFonts w:ascii="黑体" w:hAnsi="黑体" w:eastAsia="黑体" w:cs="黑体"/>
                <w:sz w:val="24"/>
                <w:lang w:val="zh-TW" w:bidi="zh-TW"/>
              </w:rPr>
            </w:pPr>
            <w:r>
              <w:rPr>
                <w:rFonts w:hint="eastAsia" w:ascii="黑体" w:hAnsi="黑体" w:eastAsia="黑体" w:cs="黑体"/>
                <w:sz w:val="24"/>
                <w:lang w:val="zh-TW" w:bidi="zh-TW"/>
              </w:rPr>
              <w:t>大写：</w:t>
            </w:r>
          </w:p>
          <w:p w14:paraId="771B1892">
            <w:pPr>
              <w:spacing w:line="285" w:lineRule="exact"/>
              <w:ind w:firstLine="211"/>
              <w:jc w:val="left"/>
              <w:rPr>
                <w:rFonts w:ascii="黑体" w:hAnsi="黑体" w:eastAsia="黑体" w:cs="黑体"/>
                <w:sz w:val="24"/>
                <w:lang w:val="zh-TW" w:bidi="zh-TW"/>
              </w:rPr>
            </w:pPr>
          </w:p>
          <w:p w14:paraId="57E3387F">
            <w:pPr>
              <w:spacing w:line="285" w:lineRule="exact"/>
              <w:ind w:firstLine="211"/>
              <w:jc w:val="left"/>
              <w:rPr>
                <w:rFonts w:ascii="Calibri" w:hAnsi="Calibri"/>
              </w:rPr>
            </w:pPr>
            <w:r>
              <w:rPr>
                <w:rFonts w:hint="eastAsia" w:ascii="黑体" w:hAnsi="黑体" w:eastAsia="黑体" w:cs="黑体"/>
                <w:sz w:val="24"/>
                <w:lang w:val="zh-TW" w:bidi="zh-TW"/>
              </w:rPr>
              <w:t>小写：</w:t>
            </w:r>
          </w:p>
        </w:tc>
      </w:tr>
      <w:tr w14:paraId="7006441D">
        <w:tblPrEx>
          <w:tblCellMar>
            <w:top w:w="0" w:type="dxa"/>
            <w:left w:w="10" w:type="dxa"/>
            <w:bottom w:w="0" w:type="dxa"/>
            <w:right w:w="10" w:type="dxa"/>
          </w:tblCellMar>
        </w:tblPrEx>
        <w:trPr>
          <w:trHeight w:val="6221" w:hRule="exact"/>
          <w:jc w:val="center"/>
        </w:trPr>
        <w:tc>
          <w:tcPr>
            <w:tcW w:w="2134" w:type="dxa"/>
            <w:tcBorders>
              <w:top w:val="single" w:color="auto" w:sz="4" w:space="0"/>
              <w:left w:val="single" w:color="auto" w:sz="4" w:space="0"/>
              <w:bottom w:val="single" w:color="auto" w:sz="4" w:space="0"/>
            </w:tcBorders>
            <w:shd w:val="clear" w:color="auto" w:fill="FFFFFF"/>
            <w:noWrap/>
            <w:vAlign w:val="center"/>
          </w:tcPr>
          <w:p w14:paraId="0F830C89">
            <w:pPr>
              <w:jc w:val="center"/>
              <w:rPr>
                <w:rFonts w:ascii="Calibri" w:hAnsi="Calibri"/>
                <w:sz w:val="28"/>
                <w:szCs w:val="28"/>
                <w:lang w:val="zh-TW" w:eastAsia="zh-TW"/>
              </w:rPr>
            </w:pPr>
            <w:r>
              <w:rPr>
                <w:rFonts w:hint="eastAsia" w:ascii="黑体" w:hAnsi="黑体" w:eastAsia="黑体" w:cs="黑体"/>
                <w:sz w:val="28"/>
                <w:szCs w:val="28"/>
                <w:lang w:val="zh-TW"/>
              </w:rPr>
              <w:t>真实性</w:t>
            </w:r>
            <w:r>
              <w:rPr>
                <w:rFonts w:hint="eastAsia" w:ascii="黑体" w:hAnsi="黑体" w:eastAsia="黑体" w:cs="黑体"/>
                <w:sz w:val="28"/>
                <w:szCs w:val="28"/>
                <w:lang w:val="zh-TW" w:eastAsia="zh-TW"/>
              </w:rPr>
              <w:t>声明</w:t>
            </w:r>
          </w:p>
        </w:tc>
        <w:tc>
          <w:tcPr>
            <w:tcW w:w="7322"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71451A4">
            <w:pPr>
              <w:adjustRightInd w:val="0"/>
              <w:snapToGrid w:val="0"/>
              <w:spacing w:after="120" w:line="440" w:lineRule="exact"/>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本企业符合《海口市龙华区个体工商户转型升级为企业奖补资金实施办法》所规定的</w:t>
            </w:r>
            <w:r>
              <w:rPr>
                <w:rFonts w:hint="eastAsia" w:ascii="仿宋" w:hAnsi="仿宋" w:eastAsia="仿宋" w:cs="仿宋"/>
                <w:sz w:val="28"/>
                <w:szCs w:val="28"/>
                <w:lang w:val="zh-TW" w:eastAsia="zh-CN"/>
              </w:rPr>
              <w:t>“</w:t>
            </w:r>
            <w:r>
              <w:rPr>
                <w:rFonts w:hint="eastAsia" w:ascii="仿宋" w:hAnsi="仿宋" w:eastAsia="仿宋" w:cs="仿宋"/>
                <w:sz w:val="28"/>
                <w:szCs w:val="28"/>
                <w:lang w:val="zh-TW" w:eastAsia="zh-TW"/>
              </w:rPr>
              <w:t>个转企</w:t>
            </w:r>
            <w:r>
              <w:rPr>
                <w:rFonts w:hint="eastAsia" w:ascii="仿宋" w:hAnsi="仿宋" w:eastAsia="仿宋" w:cs="仿宋"/>
                <w:sz w:val="28"/>
                <w:szCs w:val="28"/>
                <w:lang w:val="zh-TW" w:eastAsia="zh-CN"/>
              </w:rPr>
              <w:t>”</w:t>
            </w:r>
            <w:r>
              <w:rPr>
                <w:rFonts w:hint="eastAsia" w:ascii="仿宋" w:hAnsi="仿宋" w:eastAsia="仿宋" w:cs="仿宋"/>
                <w:sz w:val="28"/>
                <w:szCs w:val="28"/>
                <w:lang w:val="zh-TW" w:eastAsia="zh-TW"/>
              </w:rPr>
              <w:t>奖补条件，提交的申报材料真实、合法、有效，如有虚假之处，愿承担相应法律责任及由此造成的一切后果，特此声明。</w:t>
            </w:r>
          </w:p>
          <w:p w14:paraId="76B503EB">
            <w:pPr>
              <w:pStyle w:val="2"/>
              <w:rPr>
                <w:lang w:eastAsia="zh-TW"/>
              </w:rPr>
            </w:pPr>
          </w:p>
          <w:p w14:paraId="368109E7">
            <w:pPr>
              <w:ind w:firstLine="211"/>
              <w:rPr>
                <w:rFonts w:ascii="仿宋" w:hAnsi="仿宋" w:eastAsia="仿宋" w:cs="仿宋"/>
                <w:sz w:val="24"/>
              </w:rPr>
            </w:pPr>
          </w:p>
          <w:p w14:paraId="366239F8">
            <w:pPr>
              <w:spacing w:line="300" w:lineRule="exact"/>
              <w:jc w:val="left"/>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法定代表人/负责人/执行事</w:t>
            </w:r>
          </w:p>
          <w:p w14:paraId="23E423A3">
            <w:pPr>
              <w:spacing w:line="300" w:lineRule="exact"/>
              <w:jc w:val="left"/>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务合伙人/委派代表签名：</w:t>
            </w:r>
          </w:p>
          <w:p w14:paraId="20D82AA7">
            <w:pPr>
              <w:adjustRightInd w:val="0"/>
              <w:snapToGrid w:val="0"/>
              <w:spacing w:after="120" w:line="440" w:lineRule="exact"/>
              <w:rPr>
                <w:rFonts w:ascii="仿宋" w:hAnsi="仿宋" w:eastAsia="仿宋" w:cs="仿宋"/>
                <w:sz w:val="28"/>
                <w:szCs w:val="28"/>
                <w:lang w:val="zh-TW" w:eastAsia="zh-TW"/>
              </w:rPr>
            </w:pPr>
            <w:r>
              <w:rPr>
                <w:rFonts w:hint="eastAsia" w:ascii="仿宋" w:hAnsi="仿宋" w:eastAsia="仿宋" w:cs="仿宋"/>
                <w:sz w:val="28"/>
                <w:szCs w:val="28"/>
                <w:lang w:val="zh-TW" w:eastAsia="zh-TW"/>
              </w:rPr>
              <w:tab/>
            </w:r>
          </w:p>
          <w:p w14:paraId="233C6446">
            <w:pPr>
              <w:spacing w:line="300" w:lineRule="exact"/>
              <w:jc w:val="left"/>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经办人签名：</w:t>
            </w:r>
          </w:p>
          <w:p w14:paraId="67D193E2">
            <w:pPr>
              <w:spacing w:line="300" w:lineRule="exact"/>
              <w:jc w:val="left"/>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经办人联系电话：</w:t>
            </w:r>
          </w:p>
          <w:p w14:paraId="2D6037F5">
            <w:pPr>
              <w:adjustRightInd w:val="0"/>
              <w:snapToGrid w:val="0"/>
              <w:spacing w:after="120" w:line="440" w:lineRule="exact"/>
              <w:rPr>
                <w:rFonts w:hint="eastAsia" w:ascii="仿宋" w:hAnsi="仿宋" w:eastAsia="仿宋" w:cs="仿宋"/>
                <w:sz w:val="28"/>
                <w:szCs w:val="28"/>
                <w:lang w:val="zh-TW" w:eastAsia="zh-TW"/>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TW" w:eastAsia="zh-TW"/>
              </w:rPr>
              <w:t>企业盖章：</w:t>
            </w:r>
          </w:p>
          <w:p w14:paraId="549D7E66">
            <w:pPr>
              <w:adjustRightInd w:val="0"/>
              <w:snapToGrid w:val="0"/>
              <w:spacing w:after="120" w:line="440" w:lineRule="exact"/>
              <w:rPr>
                <w:rFonts w:ascii="Calibri" w:hAnsi="Calibri"/>
                <w:sz w:val="28"/>
                <w:szCs w:val="28"/>
                <w:lang w:val="zh-TW" w:eastAsia="zh-TW"/>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TW" w:eastAsia="zh-TW"/>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CN" w:eastAsia="zh-TW"/>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TW" w:eastAsia="zh-TW"/>
              </w:rPr>
              <w:t xml:space="preserve"> 日</w:t>
            </w:r>
          </w:p>
        </w:tc>
      </w:tr>
    </w:tbl>
    <w:p w14:paraId="7B812650">
      <w:pPr>
        <w:spacing w:line="720" w:lineRule="exact"/>
        <w:jc w:val="left"/>
        <w:rPr>
          <w:rFonts w:ascii="黑体" w:hAnsi="黑体" w:eastAsia="黑体" w:cs="黑体"/>
          <w:sz w:val="32"/>
          <w:szCs w:val="32"/>
          <w:lang w:bidi="zh-TW"/>
        </w:rPr>
      </w:pPr>
      <w:r>
        <w:rPr>
          <w:rFonts w:hint="eastAsia" w:ascii="黑体" w:hAnsi="黑体" w:eastAsia="黑体" w:cs="黑体"/>
          <w:sz w:val="32"/>
          <w:szCs w:val="32"/>
          <w:lang w:bidi="zh-TW"/>
        </w:rPr>
        <w:t>附件2</w:t>
      </w:r>
    </w:p>
    <w:p w14:paraId="10DB94EB">
      <w:pPr>
        <w:spacing w:line="720" w:lineRule="exact"/>
        <w:ind w:left="0" w:leftChars="0" w:firstLine="0" w:firstLineChars="0"/>
        <w:jc w:val="center"/>
        <w:rPr>
          <w:rFonts w:hint="eastAsia" w:ascii="黑体" w:hAnsi="黑体" w:eastAsia="黑体"/>
          <w:b/>
          <w:bCs/>
          <w:sz w:val="21"/>
          <w:szCs w:val="21"/>
        </w:rPr>
      </w:pPr>
      <w:r>
        <w:rPr>
          <w:rFonts w:hint="eastAsia" w:ascii="黑体" w:hAnsi="黑体" w:eastAsia="黑体"/>
          <w:b/>
          <w:bCs/>
          <w:sz w:val="36"/>
          <w:szCs w:val="36"/>
        </w:rPr>
        <w:t>海口市龙华区“个转企”奖补资金收款账户确认书</w:t>
      </w:r>
    </w:p>
    <w:p w14:paraId="159D9283">
      <w:pPr>
        <w:pStyle w:val="2"/>
      </w:pPr>
    </w:p>
    <w:tbl>
      <w:tblPr>
        <w:tblStyle w:val="19"/>
        <w:tblW w:w="9007" w:type="dxa"/>
        <w:jc w:val="center"/>
        <w:tblLayout w:type="fixed"/>
        <w:tblCellMar>
          <w:top w:w="0" w:type="dxa"/>
          <w:left w:w="108" w:type="dxa"/>
          <w:bottom w:w="0" w:type="dxa"/>
          <w:right w:w="108" w:type="dxa"/>
        </w:tblCellMar>
      </w:tblPr>
      <w:tblGrid>
        <w:gridCol w:w="861"/>
        <w:gridCol w:w="2735"/>
        <w:gridCol w:w="5411"/>
      </w:tblGrid>
      <w:tr w14:paraId="4C7A37E5">
        <w:tblPrEx>
          <w:tblCellMar>
            <w:top w:w="0" w:type="dxa"/>
            <w:left w:w="108" w:type="dxa"/>
            <w:bottom w:w="0" w:type="dxa"/>
            <w:right w:w="108" w:type="dxa"/>
          </w:tblCellMar>
        </w:tblPrEx>
        <w:trPr>
          <w:trHeight w:val="1817" w:hRule="atLeast"/>
          <w:jc w:val="center"/>
        </w:trPr>
        <w:tc>
          <w:tcPr>
            <w:tcW w:w="861" w:type="dxa"/>
            <w:tcBorders>
              <w:top w:val="single" w:color="auto" w:sz="4" w:space="0"/>
              <w:left w:val="single" w:color="auto" w:sz="4" w:space="0"/>
              <w:bottom w:val="single" w:color="auto" w:sz="4" w:space="0"/>
              <w:right w:val="single" w:color="auto" w:sz="4" w:space="0"/>
            </w:tcBorders>
            <w:vAlign w:val="center"/>
          </w:tcPr>
          <w:p w14:paraId="2E6E7467">
            <w:pPr>
              <w:jc w:val="center"/>
              <w:rPr>
                <w:rFonts w:ascii="黑体" w:hAnsi="黑体" w:eastAsia="黑体" w:cs="黑体"/>
                <w:sz w:val="28"/>
                <w:szCs w:val="28"/>
              </w:rPr>
            </w:pPr>
            <w:r>
              <w:rPr>
                <w:rFonts w:hint="eastAsia" w:ascii="黑体" w:hAnsi="黑体" w:eastAsia="黑体" w:cs="黑体"/>
                <w:sz w:val="28"/>
                <w:szCs w:val="28"/>
              </w:rPr>
              <w:t>告知事项</w:t>
            </w:r>
          </w:p>
        </w:tc>
        <w:tc>
          <w:tcPr>
            <w:tcW w:w="8146" w:type="dxa"/>
            <w:gridSpan w:val="2"/>
            <w:tcBorders>
              <w:top w:val="single" w:color="auto" w:sz="4" w:space="0"/>
              <w:left w:val="nil"/>
              <w:bottom w:val="single" w:color="auto" w:sz="4" w:space="0"/>
              <w:right w:val="single" w:color="auto" w:sz="4" w:space="0"/>
            </w:tcBorders>
            <w:vAlign w:val="center"/>
          </w:tcPr>
          <w:p w14:paraId="63F81F62">
            <w:pPr>
              <w:spacing w:line="300" w:lineRule="exact"/>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1.为便于转型企业及时收到奖补资金，转型企业应当如实、正确提供用于接收资金的由转型企业开设的有效银行账号。</w:t>
            </w:r>
          </w:p>
          <w:p w14:paraId="3CC15583">
            <w:pPr>
              <w:spacing w:line="300" w:lineRule="exact"/>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2.如果转型企业提供的银行账号不准确或者变更后不及时更改提交，导致无法办理的，转型企业自行承担相应后果。</w:t>
            </w:r>
          </w:p>
        </w:tc>
      </w:tr>
      <w:tr w14:paraId="412AF4A8">
        <w:tblPrEx>
          <w:tblCellMar>
            <w:top w:w="0" w:type="dxa"/>
            <w:left w:w="108" w:type="dxa"/>
            <w:bottom w:w="0" w:type="dxa"/>
            <w:right w:w="108" w:type="dxa"/>
          </w:tblCellMar>
        </w:tblPrEx>
        <w:trPr>
          <w:trHeight w:val="831" w:hRule="exact"/>
          <w:jc w:val="center"/>
        </w:trPr>
        <w:tc>
          <w:tcPr>
            <w:tcW w:w="861" w:type="dxa"/>
            <w:vMerge w:val="restart"/>
            <w:tcBorders>
              <w:top w:val="nil"/>
              <w:left w:val="single" w:color="auto" w:sz="4" w:space="0"/>
              <w:right w:val="single" w:color="auto" w:sz="4" w:space="0"/>
            </w:tcBorders>
            <w:vAlign w:val="center"/>
          </w:tcPr>
          <w:p w14:paraId="157E81A4">
            <w:pPr>
              <w:jc w:val="center"/>
              <w:rPr>
                <w:rFonts w:hint="eastAsia" w:ascii="黑体" w:hAnsi="黑体" w:eastAsia="黑体" w:cs="黑体"/>
                <w:sz w:val="28"/>
                <w:szCs w:val="28"/>
              </w:rPr>
            </w:pPr>
            <w:r>
              <w:rPr>
                <w:rFonts w:hint="eastAsia" w:ascii="黑体" w:hAnsi="黑体" w:eastAsia="黑体" w:cs="黑体"/>
                <w:sz w:val="28"/>
                <w:szCs w:val="28"/>
              </w:rPr>
              <w:t>银行账号</w:t>
            </w:r>
          </w:p>
        </w:tc>
        <w:tc>
          <w:tcPr>
            <w:tcW w:w="2735" w:type="dxa"/>
            <w:tcBorders>
              <w:top w:val="single" w:color="auto" w:sz="4" w:space="0"/>
              <w:left w:val="nil"/>
              <w:bottom w:val="single" w:color="auto" w:sz="4" w:space="0"/>
              <w:right w:val="single" w:color="auto" w:sz="4" w:space="0"/>
            </w:tcBorders>
            <w:vAlign w:val="center"/>
          </w:tcPr>
          <w:p w14:paraId="2E76DD34">
            <w:pPr>
              <w:jc w:val="center"/>
              <w:rPr>
                <w:rFonts w:hint="eastAsia" w:ascii="黑体" w:hAnsi="黑体" w:eastAsia="黑体" w:cs="黑体"/>
                <w:sz w:val="28"/>
                <w:szCs w:val="28"/>
              </w:rPr>
            </w:pPr>
            <w:r>
              <w:rPr>
                <w:rFonts w:hint="eastAsia" w:ascii="黑体" w:hAnsi="黑体" w:eastAsia="黑体" w:cs="黑体"/>
                <w:sz w:val="28"/>
                <w:szCs w:val="28"/>
              </w:rPr>
              <w:t>转型企业名称</w:t>
            </w:r>
          </w:p>
        </w:tc>
        <w:tc>
          <w:tcPr>
            <w:tcW w:w="5411" w:type="dxa"/>
            <w:tcBorders>
              <w:top w:val="single" w:color="auto" w:sz="4" w:space="0"/>
              <w:left w:val="nil"/>
              <w:bottom w:val="single" w:color="auto" w:sz="4" w:space="0"/>
              <w:right w:val="single" w:color="auto" w:sz="4" w:space="0"/>
            </w:tcBorders>
            <w:vAlign w:val="center"/>
          </w:tcPr>
          <w:p w14:paraId="4DC956B8">
            <w:pPr>
              <w:jc w:val="center"/>
              <w:rPr>
                <w:rFonts w:hint="eastAsia" w:ascii="黑体" w:hAnsi="黑体" w:eastAsia="黑体" w:cs="黑体"/>
                <w:sz w:val="28"/>
                <w:szCs w:val="28"/>
              </w:rPr>
            </w:pPr>
          </w:p>
        </w:tc>
      </w:tr>
      <w:tr w14:paraId="719E407E">
        <w:tblPrEx>
          <w:tblCellMar>
            <w:top w:w="0" w:type="dxa"/>
            <w:left w:w="108" w:type="dxa"/>
            <w:bottom w:w="0" w:type="dxa"/>
            <w:right w:w="108" w:type="dxa"/>
          </w:tblCellMar>
        </w:tblPrEx>
        <w:trPr>
          <w:trHeight w:val="593" w:hRule="exact"/>
          <w:jc w:val="center"/>
        </w:trPr>
        <w:tc>
          <w:tcPr>
            <w:tcW w:w="861" w:type="dxa"/>
            <w:vMerge w:val="continue"/>
            <w:tcBorders>
              <w:left w:val="single" w:color="auto" w:sz="4" w:space="0"/>
              <w:right w:val="single" w:color="auto" w:sz="4" w:space="0"/>
            </w:tcBorders>
            <w:vAlign w:val="center"/>
          </w:tcPr>
          <w:p w14:paraId="5D4CD9EB">
            <w:pPr>
              <w:widowControl/>
              <w:ind w:firstLine="246"/>
              <w:jc w:val="center"/>
              <w:rPr>
                <w:rFonts w:ascii="黑体" w:hAnsi="黑体" w:eastAsia="黑体" w:cs="黑体"/>
                <w:sz w:val="28"/>
                <w:szCs w:val="28"/>
              </w:rPr>
            </w:pPr>
          </w:p>
        </w:tc>
        <w:tc>
          <w:tcPr>
            <w:tcW w:w="2735" w:type="dxa"/>
            <w:tcBorders>
              <w:top w:val="nil"/>
              <w:left w:val="nil"/>
              <w:bottom w:val="single" w:color="auto" w:sz="4" w:space="0"/>
              <w:right w:val="single" w:color="auto" w:sz="4" w:space="0"/>
            </w:tcBorders>
            <w:vAlign w:val="center"/>
          </w:tcPr>
          <w:p w14:paraId="468A7329">
            <w:pPr>
              <w:spacing w:line="300" w:lineRule="exact"/>
              <w:ind w:firstLine="246"/>
              <w:jc w:val="center"/>
              <w:rPr>
                <w:rFonts w:ascii="黑体" w:hAnsi="黑体" w:eastAsia="黑体" w:cs="黑体"/>
                <w:sz w:val="28"/>
                <w:szCs w:val="28"/>
              </w:rPr>
            </w:pPr>
            <w:r>
              <w:rPr>
                <w:rFonts w:hint="eastAsia" w:ascii="黑体" w:hAnsi="黑体" w:eastAsia="黑体" w:cs="黑体"/>
                <w:sz w:val="28"/>
                <w:szCs w:val="28"/>
              </w:rPr>
              <w:t>统一社会信用代码</w:t>
            </w:r>
          </w:p>
        </w:tc>
        <w:tc>
          <w:tcPr>
            <w:tcW w:w="5411" w:type="dxa"/>
            <w:tcBorders>
              <w:top w:val="nil"/>
              <w:left w:val="nil"/>
              <w:bottom w:val="single" w:color="auto" w:sz="4" w:space="0"/>
              <w:right w:val="single" w:color="auto" w:sz="4" w:space="0"/>
            </w:tcBorders>
            <w:vAlign w:val="center"/>
          </w:tcPr>
          <w:p w14:paraId="0F5C47DD">
            <w:pPr>
              <w:widowControl/>
              <w:ind w:firstLine="246"/>
              <w:jc w:val="left"/>
              <w:rPr>
                <w:rFonts w:ascii="仿宋_GB2312" w:hAnsi="仿宋_GB2312" w:eastAsia="仿宋_GB2312" w:cs="仿宋_GB2312"/>
                <w:sz w:val="28"/>
                <w:szCs w:val="28"/>
              </w:rPr>
            </w:pPr>
          </w:p>
        </w:tc>
      </w:tr>
      <w:tr w14:paraId="7B48082A">
        <w:tblPrEx>
          <w:tblCellMar>
            <w:top w:w="0" w:type="dxa"/>
            <w:left w:w="108" w:type="dxa"/>
            <w:bottom w:w="0" w:type="dxa"/>
            <w:right w:w="108" w:type="dxa"/>
          </w:tblCellMar>
        </w:tblPrEx>
        <w:trPr>
          <w:trHeight w:val="654" w:hRule="exact"/>
          <w:jc w:val="center"/>
        </w:trPr>
        <w:tc>
          <w:tcPr>
            <w:tcW w:w="861" w:type="dxa"/>
            <w:vMerge w:val="continue"/>
            <w:tcBorders>
              <w:left w:val="single" w:color="auto" w:sz="4" w:space="0"/>
              <w:right w:val="single" w:color="auto" w:sz="4" w:space="0"/>
            </w:tcBorders>
            <w:vAlign w:val="center"/>
          </w:tcPr>
          <w:p w14:paraId="4A8E2C90">
            <w:pPr>
              <w:widowControl/>
              <w:ind w:firstLine="246"/>
              <w:jc w:val="center"/>
              <w:rPr>
                <w:rFonts w:ascii="黑体" w:hAnsi="黑体" w:eastAsia="黑体" w:cs="黑体"/>
                <w:sz w:val="28"/>
                <w:szCs w:val="28"/>
              </w:rPr>
            </w:pPr>
          </w:p>
        </w:tc>
        <w:tc>
          <w:tcPr>
            <w:tcW w:w="2735" w:type="dxa"/>
            <w:tcBorders>
              <w:top w:val="nil"/>
              <w:left w:val="nil"/>
              <w:bottom w:val="single" w:color="auto" w:sz="4" w:space="0"/>
              <w:right w:val="single" w:color="auto" w:sz="4" w:space="0"/>
            </w:tcBorders>
            <w:vAlign w:val="center"/>
          </w:tcPr>
          <w:p w14:paraId="2FD96A8E">
            <w:pPr>
              <w:spacing w:line="300" w:lineRule="exact"/>
              <w:ind w:firstLine="246"/>
              <w:jc w:val="center"/>
              <w:rPr>
                <w:rFonts w:ascii="黑体" w:hAnsi="黑体" w:eastAsia="黑体" w:cs="黑体"/>
                <w:sz w:val="28"/>
                <w:szCs w:val="28"/>
              </w:rPr>
            </w:pPr>
            <w:r>
              <w:rPr>
                <w:rFonts w:hint="eastAsia" w:ascii="黑体" w:hAnsi="黑体" w:eastAsia="黑体" w:cs="黑体"/>
                <w:sz w:val="28"/>
                <w:szCs w:val="28"/>
              </w:rPr>
              <w:t>企业收款账号</w:t>
            </w:r>
          </w:p>
        </w:tc>
        <w:tc>
          <w:tcPr>
            <w:tcW w:w="5411" w:type="dxa"/>
            <w:tcBorders>
              <w:top w:val="nil"/>
              <w:left w:val="nil"/>
              <w:bottom w:val="single" w:color="auto" w:sz="4" w:space="0"/>
              <w:right w:val="single" w:color="auto" w:sz="4" w:space="0"/>
            </w:tcBorders>
            <w:vAlign w:val="center"/>
          </w:tcPr>
          <w:p w14:paraId="656920A3">
            <w:pPr>
              <w:widowControl/>
              <w:ind w:firstLine="246"/>
              <w:jc w:val="left"/>
              <w:rPr>
                <w:rFonts w:ascii="仿宋_GB2312" w:hAnsi="仿宋_GB2312" w:eastAsia="仿宋_GB2312" w:cs="仿宋_GB2312"/>
                <w:sz w:val="28"/>
                <w:szCs w:val="28"/>
              </w:rPr>
            </w:pPr>
          </w:p>
        </w:tc>
      </w:tr>
      <w:tr w14:paraId="03CB7C44">
        <w:tblPrEx>
          <w:tblCellMar>
            <w:top w:w="0" w:type="dxa"/>
            <w:left w:w="108" w:type="dxa"/>
            <w:bottom w:w="0" w:type="dxa"/>
            <w:right w:w="108" w:type="dxa"/>
          </w:tblCellMar>
        </w:tblPrEx>
        <w:trPr>
          <w:trHeight w:val="654" w:hRule="exact"/>
          <w:jc w:val="center"/>
        </w:trPr>
        <w:tc>
          <w:tcPr>
            <w:tcW w:w="861" w:type="dxa"/>
            <w:vMerge w:val="continue"/>
            <w:tcBorders>
              <w:left w:val="single" w:color="auto" w:sz="4" w:space="0"/>
              <w:right w:val="single" w:color="auto" w:sz="4" w:space="0"/>
            </w:tcBorders>
            <w:vAlign w:val="center"/>
          </w:tcPr>
          <w:p w14:paraId="27E584AE">
            <w:pPr>
              <w:widowControl/>
              <w:ind w:firstLine="246"/>
              <w:jc w:val="center"/>
              <w:rPr>
                <w:rFonts w:ascii="黑体" w:hAnsi="黑体" w:eastAsia="黑体" w:cs="黑体"/>
                <w:sz w:val="28"/>
                <w:szCs w:val="28"/>
              </w:rPr>
            </w:pPr>
          </w:p>
        </w:tc>
        <w:tc>
          <w:tcPr>
            <w:tcW w:w="2735" w:type="dxa"/>
            <w:tcBorders>
              <w:top w:val="nil"/>
              <w:left w:val="nil"/>
              <w:bottom w:val="single" w:color="auto" w:sz="4" w:space="0"/>
              <w:right w:val="single" w:color="auto" w:sz="4" w:space="0"/>
            </w:tcBorders>
            <w:vAlign w:val="center"/>
          </w:tcPr>
          <w:p w14:paraId="69B263C6">
            <w:pPr>
              <w:spacing w:line="300" w:lineRule="exact"/>
              <w:ind w:firstLine="246"/>
              <w:jc w:val="center"/>
              <w:rPr>
                <w:rFonts w:ascii="黑体" w:hAnsi="黑体" w:eastAsia="黑体" w:cs="黑体"/>
                <w:sz w:val="28"/>
                <w:szCs w:val="28"/>
              </w:rPr>
            </w:pPr>
            <w:r>
              <w:rPr>
                <w:rFonts w:hint="eastAsia" w:ascii="黑体" w:hAnsi="黑体" w:eastAsia="黑体" w:cs="黑体"/>
                <w:sz w:val="28"/>
                <w:szCs w:val="28"/>
              </w:rPr>
              <w:t>企业收款开户行</w:t>
            </w:r>
          </w:p>
        </w:tc>
        <w:tc>
          <w:tcPr>
            <w:tcW w:w="5411" w:type="dxa"/>
            <w:tcBorders>
              <w:top w:val="nil"/>
              <w:left w:val="nil"/>
              <w:bottom w:val="single" w:color="auto" w:sz="4" w:space="0"/>
              <w:right w:val="single" w:color="auto" w:sz="4" w:space="0"/>
            </w:tcBorders>
            <w:vAlign w:val="center"/>
          </w:tcPr>
          <w:p w14:paraId="2EED76E7">
            <w:pPr>
              <w:widowControl/>
              <w:ind w:firstLine="246"/>
              <w:jc w:val="left"/>
              <w:rPr>
                <w:rFonts w:ascii="仿宋_GB2312" w:hAnsi="仿宋_GB2312" w:eastAsia="仿宋_GB2312" w:cs="仿宋_GB2312"/>
                <w:sz w:val="28"/>
                <w:szCs w:val="28"/>
              </w:rPr>
            </w:pPr>
          </w:p>
        </w:tc>
      </w:tr>
      <w:tr w14:paraId="29C344BF">
        <w:tblPrEx>
          <w:tblCellMar>
            <w:top w:w="0" w:type="dxa"/>
            <w:left w:w="108" w:type="dxa"/>
            <w:bottom w:w="0" w:type="dxa"/>
            <w:right w:w="108" w:type="dxa"/>
          </w:tblCellMar>
        </w:tblPrEx>
        <w:trPr>
          <w:trHeight w:val="711" w:hRule="exact"/>
          <w:jc w:val="center"/>
        </w:trPr>
        <w:tc>
          <w:tcPr>
            <w:tcW w:w="861" w:type="dxa"/>
            <w:vMerge w:val="continue"/>
            <w:tcBorders>
              <w:left w:val="single" w:color="auto" w:sz="4" w:space="0"/>
              <w:bottom w:val="single" w:color="auto" w:sz="4" w:space="0"/>
              <w:right w:val="single" w:color="auto" w:sz="4" w:space="0"/>
            </w:tcBorders>
            <w:vAlign w:val="center"/>
          </w:tcPr>
          <w:p w14:paraId="4B7236DB">
            <w:pPr>
              <w:widowControl/>
              <w:ind w:firstLine="246"/>
              <w:jc w:val="center"/>
              <w:rPr>
                <w:rFonts w:ascii="黑体" w:hAnsi="黑体" w:eastAsia="黑体" w:cs="黑体"/>
                <w:sz w:val="28"/>
                <w:szCs w:val="28"/>
              </w:rPr>
            </w:pPr>
          </w:p>
        </w:tc>
        <w:tc>
          <w:tcPr>
            <w:tcW w:w="2735" w:type="dxa"/>
            <w:tcBorders>
              <w:top w:val="nil"/>
              <w:left w:val="nil"/>
              <w:bottom w:val="single" w:color="auto" w:sz="4" w:space="0"/>
              <w:right w:val="single" w:color="auto" w:sz="4" w:space="0"/>
            </w:tcBorders>
            <w:vAlign w:val="center"/>
          </w:tcPr>
          <w:p w14:paraId="4BDA2F0A">
            <w:pPr>
              <w:spacing w:line="300" w:lineRule="exact"/>
              <w:ind w:firstLine="246"/>
              <w:jc w:val="center"/>
              <w:rPr>
                <w:rFonts w:ascii="黑体" w:hAnsi="黑体" w:eastAsia="黑体" w:cs="黑体"/>
                <w:sz w:val="28"/>
                <w:szCs w:val="28"/>
              </w:rPr>
            </w:pPr>
            <w:r>
              <w:rPr>
                <w:rFonts w:hint="eastAsia" w:ascii="黑体" w:hAnsi="黑体" w:eastAsia="黑体" w:cs="黑体"/>
                <w:sz w:val="28"/>
                <w:szCs w:val="28"/>
              </w:rPr>
              <w:t>联系人及联系电话</w:t>
            </w:r>
          </w:p>
        </w:tc>
        <w:tc>
          <w:tcPr>
            <w:tcW w:w="5411" w:type="dxa"/>
            <w:tcBorders>
              <w:top w:val="nil"/>
              <w:left w:val="nil"/>
              <w:bottom w:val="single" w:color="auto" w:sz="4" w:space="0"/>
              <w:right w:val="single" w:color="auto" w:sz="4" w:space="0"/>
            </w:tcBorders>
            <w:vAlign w:val="center"/>
          </w:tcPr>
          <w:p w14:paraId="79236B8E">
            <w:pPr>
              <w:widowControl/>
              <w:ind w:firstLine="246"/>
              <w:jc w:val="left"/>
              <w:rPr>
                <w:rFonts w:ascii="仿宋_GB2312" w:hAnsi="仿宋_GB2312" w:eastAsia="仿宋_GB2312" w:cs="仿宋_GB2312"/>
                <w:sz w:val="28"/>
                <w:szCs w:val="28"/>
              </w:rPr>
            </w:pPr>
          </w:p>
        </w:tc>
      </w:tr>
      <w:tr w14:paraId="359443AF">
        <w:tblPrEx>
          <w:tblCellMar>
            <w:top w:w="0" w:type="dxa"/>
            <w:left w:w="108" w:type="dxa"/>
            <w:bottom w:w="0" w:type="dxa"/>
            <w:right w:w="108" w:type="dxa"/>
          </w:tblCellMar>
        </w:tblPrEx>
        <w:trPr>
          <w:trHeight w:val="5568" w:hRule="atLeast"/>
          <w:jc w:val="center"/>
        </w:trPr>
        <w:tc>
          <w:tcPr>
            <w:tcW w:w="861" w:type="dxa"/>
            <w:tcBorders>
              <w:top w:val="single" w:color="auto" w:sz="4" w:space="0"/>
              <w:left w:val="single" w:color="auto" w:sz="4" w:space="0"/>
              <w:bottom w:val="single" w:color="auto" w:sz="4" w:space="0"/>
              <w:right w:val="single" w:color="auto" w:sz="4" w:space="0"/>
            </w:tcBorders>
            <w:vAlign w:val="center"/>
          </w:tcPr>
          <w:p w14:paraId="7F4CDD9F">
            <w:pPr>
              <w:jc w:val="center"/>
              <w:rPr>
                <w:rFonts w:ascii="黑体" w:hAnsi="黑体" w:eastAsia="黑体" w:cs="黑体"/>
                <w:sz w:val="28"/>
                <w:szCs w:val="28"/>
              </w:rPr>
            </w:pPr>
            <w:r>
              <w:rPr>
                <w:rFonts w:hint="eastAsia" w:ascii="黑体" w:hAnsi="黑体" w:eastAsia="黑体" w:cs="黑体"/>
                <w:sz w:val="28"/>
                <w:szCs w:val="28"/>
              </w:rPr>
              <w:t>转型企业确认</w:t>
            </w:r>
          </w:p>
        </w:tc>
        <w:tc>
          <w:tcPr>
            <w:tcW w:w="8146" w:type="dxa"/>
            <w:gridSpan w:val="2"/>
            <w:tcBorders>
              <w:top w:val="single" w:color="auto" w:sz="4" w:space="0"/>
              <w:left w:val="single" w:color="auto" w:sz="4" w:space="0"/>
              <w:bottom w:val="single" w:color="auto" w:sz="4" w:space="0"/>
              <w:right w:val="single" w:color="auto" w:sz="4" w:space="0"/>
            </w:tcBorders>
          </w:tcPr>
          <w:p w14:paraId="24AB4CDB">
            <w:pPr>
              <w:adjustRightInd w:val="0"/>
              <w:snapToGrid w:val="0"/>
              <w:spacing w:after="120" w:line="440" w:lineRule="exact"/>
              <w:ind w:firstLine="560" w:firstLineChars="200"/>
              <w:rPr>
                <w:rFonts w:hint="eastAsia" w:ascii="仿宋" w:hAnsi="仿宋" w:eastAsia="仿宋" w:cs="仿宋"/>
                <w:sz w:val="28"/>
                <w:szCs w:val="28"/>
                <w:lang w:val="zh-TW" w:eastAsia="zh-TW"/>
              </w:rPr>
            </w:pPr>
          </w:p>
          <w:p w14:paraId="48AEF73F">
            <w:pPr>
              <w:adjustRightInd w:val="0"/>
              <w:snapToGrid w:val="0"/>
              <w:spacing w:after="120" w:line="440" w:lineRule="exact"/>
              <w:ind w:firstLine="560" w:firstLineChars="200"/>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本人/本企业已阅读本确认书的告知事项，提供的上述银行账号真实有效，请将奖/补资金转（汇）入上述银行账户。</w:t>
            </w:r>
          </w:p>
          <w:p w14:paraId="24006D40">
            <w:pPr>
              <w:adjustRightInd w:val="0"/>
              <w:snapToGrid w:val="0"/>
              <w:spacing w:after="120" w:line="440" w:lineRule="exact"/>
              <w:ind w:firstLine="560" w:firstLineChars="200"/>
              <w:rPr>
                <w:rFonts w:hint="eastAsia" w:ascii="仿宋" w:hAnsi="仿宋" w:eastAsia="仿宋" w:cs="仿宋"/>
                <w:sz w:val="28"/>
                <w:szCs w:val="28"/>
                <w:lang w:val="zh-TW" w:eastAsia="zh-TW"/>
              </w:rPr>
            </w:pPr>
          </w:p>
          <w:p w14:paraId="202E3218">
            <w:pPr>
              <w:spacing w:line="300" w:lineRule="exact"/>
              <w:jc w:val="left"/>
              <w:rPr>
                <w:rFonts w:hint="eastAsia" w:ascii="仿宋" w:hAnsi="仿宋" w:eastAsia="仿宋" w:cs="仿宋"/>
                <w:sz w:val="28"/>
                <w:szCs w:val="28"/>
                <w:lang w:val="zh-TW"/>
              </w:rPr>
            </w:pPr>
            <w:r>
              <w:rPr>
                <w:rFonts w:hint="eastAsia" w:ascii="仿宋" w:hAnsi="仿宋" w:eastAsia="仿宋" w:cs="仿宋"/>
                <w:sz w:val="28"/>
                <w:szCs w:val="28"/>
                <w:lang w:val="zh-TW" w:eastAsia="zh-TW"/>
              </w:rPr>
              <w:t>法定代表人</w:t>
            </w:r>
            <w:r>
              <w:rPr>
                <w:rFonts w:hint="eastAsia" w:ascii="仿宋" w:hAnsi="仿宋" w:eastAsia="仿宋" w:cs="仿宋"/>
                <w:sz w:val="28"/>
                <w:szCs w:val="28"/>
              </w:rPr>
              <w:t>/负责人/</w:t>
            </w:r>
            <w:r>
              <w:rPr>
                <w:rFonts w:hint="eastAsia" w:ascii="仿宋" w:hAnsi="仿宋" w:eastAsia="仿宋" w:cs="仿宋"/>
                <w:sz w:val="28"/>
                <w:szCs w:val="28"/>
                <w:lang w:val="zh-TW"/>
              </w:rPr>
              <w:t>执行事</w:t>
            </w:r>
          </w:p>
          <w:p w14:paraId="317AD8F7">
            <w:pPr>
              <w:spacing w:line="300" w:lineRule="exact"/>
              <w:jc w:val="left"/>
              <w:rPr>
                <w:rFonts w:ascii="仿宋" w:hAnsi="仿宋" w:eastAsia="仿宋" w:cs="仿宋"/>
                <w:sz w:val="28"/>
                <w:szCs w:val="28"/>
                <w:lang w:val="zh-TW" w:eastAsia="zh-TW"/>
              </w:rPr>
            </w:pPr>
            <w:r>
              <w:rPr>
                <w:rFonts w:hint="eastAsia" w:ascii="仿宋" w:hAnsi="仿宋" w:eastAsia="仿宋" w:cs="仿宋"/>
                <w:sz w:val="28"/>
                <w:szCs w:val="28"/>
                <w:lang w:val="zh-TW"/>
              </w:rPr>
              <w:t>务合伙人</w:t>
            </w:r>
            <w:r>
              <w:rPr>
                <w:rFonts w:hint="eastAsia" w:ascii="仿宋" w:hAnsi="仿宋" w:eastAsia="仿宋" w:cs="仿宋"/>
                <w:sz w:val="28"/>
                <w:szCs w:val="28"/>
              </w:rPr>
              <w:t>/</w:t>
            </w:r>
            <w:r>
              <w:rPr>
                <w:rFonts w:hint="eastAsia" w:ascii="仿宋" w:hAnsi="仿宋" w:eastAsia="仿宋" w:cs="仿宋"/>
                <w:sz w:val="28"/>
                <w:szCs w:val="28"/>
                <w:lang w:val="zh-TW"/>
              </w:rPr>
              <w:t>委派代表</w:t>
            </w:r>
            <w:r>
              <w:rPr>
                <w:rFonts w:hint="eastAsia" w:ascii="仿宋" w:hAnsi="仿宋" w:eastAsia="仿宋" w:cs="仿宋"/>
                <w:sz w:val="28"/>
                <w:szCs w:val="28"/>
                <w:lang w:val="zh-TW" w:eastAsia="zh-TW"/>
              </w:rPr>
              <w:t>签名：</w:t>
            </w:r>
            <w:r>
              <w:rPr>
                <w:rFonts w:hint="eastAsia" w:ascii="仿宋" w:hAnsi="仿宋" w:eastAsia="仿宋" w:cs="仿宋"/>
                <w:sz w:val="28"/>
                <w:szCs w:val="28"/>
                <w:lang w:val="zh-TW" w:eastAsia="zh-TW"/>
              </w:rPr>
              <w:tab/>
            </w:r>
          </w:p>
          <w:p w14:paraId="4BC33AF0">
            <w:pPr>
              <w:spacing w:after="120"/>
              <w:ind w:firstLine="246"/>
              <w:rPr>
                <w:rFonts w:ascii="仿宋" w:hAnsi="仿宋" w:eastAsia="仿宋" w:cs="仿宋"/>
                <w:sz w:val="28"/>
                <w:szCs w:val="28"/>
                <w:lang w:val="zh-TW" w:eastAsia="zh-TW"/>
              </w:rPr>
            </w:pPr>
          </w:p>
          <w:p w14:paraId="651C0194">
            <w:pPr>
              <w:spacing w:line="300" w:lineRule="exact"/>
              <w:jc w:val="left"/>
              <w:rPr>
                <w:rFonts w:hint="eastAsia"/>
                <w:lang w:val="zh-TW"/>
              </w:rPr>
            </w:pPr>
            <w:r>
              <w:rPr>
                <w:rFonts w:hint="eastAsia" w:ascii="仿宋" w:hAnsi="仿宋" w:eastAsia="仿宋" w:cs="仿宋"/>
                <w:sz w:val="28"/>
                <w:szCs w:val="28"/>
                <w:lang w:val="zh-TW"/>
              </w:rPr>
              <w:t>经办人签名：</w:t>
            </w:r>
          </w:p>
          <w:p w14:paraId="4B1724ED">
            <w:pPr>
              <w:spacing w:line="300" w:lineRule="exact"/>
              <w:jc w:val="left"/>
              <w:rPr>
                <w:rFonts w:hint="eastAsia" w:ascii="仿宋" w:hAnsi="仿宋" w:eastAsia="仿宋" w:cs="仿宋"/>
                <w:sz w:val="28"/>
                <w:szCs w:val="28"/>
                <w:lang w:val="zh-TW" w:eastAsia="zh-TW"/>
              </w:rPr>
            </w:pPr>
            <w:r>
              <w:rPr>
                <w:rFonts w:hint="eastAsia" w:ascii="仿宋" w:hAnsi="仿宋" w:eastAsia="仿宋" w:cs="仿宋"/>
                <w:sz w:val="28"/>
                <w:szCs w:val="28"/>
              </w:rPr>
              <w:t>经办人</w:t>
            </w:r>
            <w:r>
              <w:rPr>
                <w:rFonts w:hint="eastAsia" w:ascii="仿宋" w:hAnsi="仿宋" w:eastAsia="仿宋" w:cs="仿宋"/>
                <w:sz w:val="28"/>
                <w:szCs w:val="28"/>
                <w:lang w:val="zh-TW" w:eastAsia="zh-TW"/>
              </w:rPr>
              <w:t>联系电话：</w:t>
            </w:r>
          </w:p>
          <w:p w14:paraId="5F310738">
            <w:pPr>
              <w:spacing w:line="300" w:lineRule="exact"/>
              <w:ind w:right="840" w:rightChars="400" w:firstLine="246"/>
              <w:jc w:val="center"/>
              <w:rPr>
                <w:rFonts w:ascii="仿宋" w:hAnsi="仿宋" w:eastAsia="仿宋" w:cs="仿宋"/>
                <w:sz w:val="28"/>
                <w:szCs w:val="28"/>
              </w:rPr>
            </w:pPr>
          </w:p>
          <w:p w14:paraId="16F21E2B">
            <w:pPr>
              <w:spacing w:line="300" w:lineRule="exact"/>
              <w:ind w:right="840" w:rightChars="400" w:firstLine="246"/>
              <w:jc w:val="center"/>
              <w:rPr>
                <w:rFonts w:ascii="仿宋" w:hAnsi="仿宋" w:eastAsia="仿宋" w:cs="仿宋"/>
                <w:sz w:val="28"/>
                <w:szCs w:val="28"/>
              </w:rPr>
            </w:pPr>
          </w:p>
          <w:p w14:paraId="46AE4A41">
            <w:pPr>
              <w:spacing w:line="300" w:lineRule="exact"/>
              <w:ind w:right="840" w:rightChars="400" w:firstLine="246"/>
              <w:jc w:val="center"/>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企业盖章：</w:t>
            </w:r>
          </w:p>
          <w:p w14:paraId="411A9491">
            <w:pPr>
              <w:ind w:right="420" w:rightChars="200" w:firstLine="246"/>
              <w:jc w:val="center"/>
              <w:rPr>
                <w:rFonts w:ascii="Calibri" w:hAnsi="Calibri"/>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tc>
      </w:tr>
    </w:tbl>
    <w:p w14:paraId="4C2F54B4">
      <w:pPr>
        <w:ind w:firstLine="211"/>
        <w:jc w:val="left"/>
        <w:rPr>
          <w:rFonts w:ascii="黑体" w:hAnsi="黑体" w:eastAsia="黑体" w:cs="黑体"/>
          <w:bCs/>
          <w:sz w:val="32"/>
          <w:szCs w:val="32"/>
        </w:rPr>
      </w:pPr>
      <w:r>
        <w:rPr>
          <w:rFonts w:hint="eastAsia" w:ascii="黑体" w:hAnsi="黑体" w:eastAsia="黑体" w:cs="黑体"/>
          <w:sz w:val="24"/>
        </w:rPr>
        <w:t>温馨提示：开户行必须具体到支行（或分行，分理处），如不清楚开户行可自行拨打银行卡背面的客户服务电话咨询。</w:t>
      </w:r>
    </w:p>
    <w:p w14:paraId="23868447">
      <w:pPr>
        <w:autoSpaceDE w:val="0"/>
        <w:autoSpaceDN w:val="0"/>
        <w:adjustRightInd w:val="0"/>
        <w:snapToGrid w:val="0"/>
        <w:spacing w:line="560" w:lineRule="exact"/>
        <w:ind w:firstLine="282"/>
        <w:jc w:val="left"/>
        <w:rPr>
          <w:rFonts w:hint="eastAsia" w:ascii="黑体" w:hAnsi="黑体" w:eastAsia="黑体" w:cs="黑体"/>
          <w:bCs/>
          <w:sz w:val="32"/>
          <w:szCs w:val="32"/>
        </w:rPr>
      </w:pPr>
    </w:p>
    <w:p w14:paraId="238BBFBA">
      <w:pPr>
        <w:autoSpaceDE w:val="0"/>
        <w:autoSpaceDN w:val="0"/>
        <w:adjustRightInd w:val="0"/>
        <w:snapToGrid w:val="0"/>
        <w:spacing w:line="560" w:lineRule="exact"/>
        <w:ind w:firstLine="282"/>
        <w:jc w:val="left"/>
        <w:rPr>
          <w:rFonts w:hint="eastAsia" w:ascii="黑体" w:hAnsi="黑体" w:eastAsia="黑体" w:cs="黑体"/>
          <w:bCs/>
          <w:sz w:val="32"/>
          <w:szCs w:val="32"/>
        </w:rPr>
      </w:pPr>
    </w:p>
    <w:p w14:paraId="3D346DC0">
      <w:pPr>
        <w:autoSpaceDE w:val="0"/>
        <w:autoSpaceDN w:val="0"/>
        <w:adjustRightInd w:val="0"/>
        <w:snapToGrid w:val="0"/>
        <w:spacing w:line="560" w:lineRule="exact"/>
        <w:ind w:firstLine="282"/>
        <w:jc w:val="left"/>
        <w:rPr>
          <w:rFonts w:ascii="黑体" w:hAnsi="黑体" w:eastAsia="黑体" w:cs="黑体"/>
          <w:bCs/>
          <w:sz w:val="32"/>
          <w:szCs w:val="32"/>
        </w:rPr>
      </w:pPr>
      <w:r>
        <w:rPr>
          <w:rFonts w:hint="eastAsia" w:ascii="黑体" w:hAnsi="黑体" w:eastAsia="黑体" w:cs="黑体"/>
          <w:bCs/>
          <w:sz w:val="32"/>
          <w:szCs w:val="32"/>
        </w:rPr>
        <w:t>附件3</w:t>
      </w:r>
    </w:p>
    <w:p w14:paraId="14C5B11A">
      <w:pPr>
        <w:autoSpaceDE w:val="0"/>
        <w:autoSpaceDN w:val="0"/>
        <w:adjustRightInd w:val="0"/>
        <w:snapToGrid w:val="0"/>
        <w:spacing w:line="560" w:lineRule="exact"/>
        <w:ind w:firstLine="387"/>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承诺书</w:t>
      </w:r>
    </w:p>
    <w:p w14:paraId="3167849E">
      <w:pPr>
        <w:pStyle w:val="2"/>
      </w:pPr>
    </w:p>
    <w:p w14:paraId="46152578">
      <w:pPr>
        <w:snapToGrid w:val="0"/>
        <w:spacing w:line="4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本企业已知悉《海口市龙华区个体工商户转型升级为企业奖补资金实施办法》有关政策规定，现自愿选择政府提供免费服务、申领“个转企”奖补资金，并承诺如下：</w:t>
      </w:r>
    </w:p>
    <w:p w14:paraId="68B02466">
      <w:pPr>
        <w:snapToGrid w:val="0"/>
        <w:spacing w:line="440" w:lineRule="exact"/>
        <w:ind w:firstLine="640" w:firstLineChars="200"/>
        <w:jc w:val="left"/>
        <w:rPr>
          <w:rFonts w:hint="eastAsia" w:ascii="仿宋" w:hAnsi="仿宋" w:eastAsia="仿宋" w:cs="仿宋"/>
          <w:sz w:val="32"/>
          <w:szCs w:val="32"/>
        </w:rPr>
      </w:pPr>
      <w:r>
        <w:rPr>
          <w:rFonts w:hint="eastAsia" w:ascii="仿宋" w:hAnsi="仿宋" w:eastAsia="仿宋" w:cs="仿宋"/>
          <w:b/>
          <w:bCs/>
          <w:color w:val="000000"/>
          <w:sz w:val="32"/>
          <w:szCs w:val="32"/>
          <w:shd w:val="clear" w:color="auto" w:fill="FFFFFF"/>
        </w:rPr>
        <w:t>一、</w:t>
      </w:r>
      <w:r>
        <w:rPr>
          <w:rFonts w:hint="eastAsia" w:ascii="仿宋" w:hAnsi="仿宋" w:eastAsia="仿宋" w:cs="仿宋"/>
          <w:color w:val="000000"/>
          <w:sz w:val="32"/>
          <w:szCs w:val="32"/>
          <w:shd w:val="clear" w:color="auto" w:fill="FFFFFF"/>
        </w:rPr>
        <w:t>本企业符合</w:t>
      </w:r>
      <w:r>
        <w:rPr>
          <w:rFonts w:hint="eastAsia" w:ascii="仿宋" w:hAnsi="仿宋" w:eastAsia="仿宋" w:cs="仿宋"/>
          <w:sz w:val="32"/>
          <w:szCs w:val="32"/>
        </w:rPr>
        <w:t>海口市龙华区</w:t>
      </w:r>
      <w:r>
        <w:rPr>
          <w:rFonts w:hint="eastAsia" w:ascii="仿宋" w:hAnsi="仿宋" w:eastAsia="仿宋" w:cs="仿宋"/>
          <w:color w:val="000000"/>
          <w:sz w:val="32"/>
          <w:szCs w:val="32"/>
          <w:shd w:val="clear" w:color="auto" w:fill="FFFFFF"/>
        </w:rPr>
        <w:t>申请“个转企”全部奖补条件，在</w:t>
      </w:r>
      <w:r>
        <w:rPr>
          <w:rFonts w:hint="eastAsia" w:ascii="仿宋" w:hAnsi="仿宋" w:eastAsia="仿宋" w:cs="仿宋"/>
          <w:sz w:val="32"/>
          <w:szCs w:val="32"/>
        </w:rPr>
        <w:t>海口市龙华区注册登记</w:t>
      </w:r>
      <w:r>
        <w:rPr>
          <w:rFonts w:hint="eastAsia" w:ascii="仿宋" w:hAnsi="仿宋" w:eastAsia="仿宋" w:cs="仿宋"/>
          <w:color w:val="000000"/>
          <w:sz w:val="32"/>
          <w:szCs w:val="32"/>
          <w:shd w:val="clear" w:color="auto" w:fill="FFFFFF"/>
        </w:rPr>
        <w:t>的住所/经营场所，为本企业真实的办公/经营地址，享受免费服务或奖补资金申请及发放期间，企业不具</w:t>
      </w:r>
      <w:r>
        <w:rPr>
          <w:rFonts w:hint="eastAsia" w:ascii="仿宋" w:hAnsi="仿宋" w:eastAsia="仿宋" w:cs="仿宋"/>
          <w:sz w:val="32"/>
          <w:szCs w:val="32"/>
        </w:rPr>
        <w:t xml:space="preserve">有以下情形： </w:t>
      </w:r>
    </w:p>
    <w:p w14:paraId="29B57143">
      <w:pPr>
        <w:snapToGrid w:val="0"/>
        <w:spacing w:line="4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1.提交虚假申请材料或以欺骗方式申请享受免费服务或奖补资金；</w:t>
      </w:r>
    </w:p>
    <w:p w14:paraId="33D6D2A4">
      <w:pPr>
        <w:snapToGrid w:val="0"/>
        <w:spacing w:line="4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2.被列入税收违法失信名单、经营异常名录和严重违法失信名单；</w:t>
      </w:r>
    </w:p>
    <w:p w14:paraId="494200A8">
      <w:pPr>
        <w:snapToGrid w:val="0"/>
        <w:spacing w:line="4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3.被撤销设立登记、被吊销、被责令关停、被强制注销或自行注销的；</w:t>
      </w:r>
    </w:p>
    <w:p w14:paraId="68B0C3A1">
      <w:pPr>
        <w:snapToGrid w:val="0"/>
        <w:spacing w:line="44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4.登记住所/经营场所已变更至海口市龙华区以外的其他行政区域的。</w:t>
      </w:r>
    </w:p>
    <w:p w14:paraId="1CBE5300">
      <w:pPr>
        <w:snapToGrid w:val="0"/>
        <w:spacing w:line="440" w:lineRule="exact"/>
        <w:ind w:firstLine="640" w:firstLineChars="200"/>
        <w:rPr>
          <w:rFonts w:ascii="仿宋" w:hAnsi="仿宋" w:eastAsia="仿宋" w:cs="仿宋"/>
          <w:sz w:val="32"/>
          <w:szCs w:val="32"/>
        </w:rPr>
      </w:pPr>
      <w:r>
        <w:rPr>
          <w:rFonts w:hint="eastAsia" w:ascii="仿宋" w:hAnsi="仿宋" w:eastAsia="仿宋" w:cs="仿宋"/>
          <w:b/>
          <w:bCs/>
          <w:color w:val="000000"/>
          <w:sz w:val="32"/>
          <w:szCs w:val="32"/>
          <w:shd w:val="clear" w:color="auto" w:fill="FFFFFF"/>
        </w:rPr>
        <w:t>二、</w:t>
      </w:r>
      <w:r>
        <w:rPr>
          <w:rFonts w:hint="eastAsia" w:ascii="仿宋" w:hAnsi="仿宋" w:eastAsia="仿宋" w:cs="仿宋"/>
          <w:color w:val="000000"/>
          <w:sz w:val="32"/>
          <w:szCs w:val="32"/>
          <w:shd w:val="clear" w:color="auto" w:fill="FFFFFF"/>
        </w:rPr>
        <w:t>严格按照《海口市龙华区个体工商户转型升级为企业</w:t>
      </w:r>
      <w:r>
        <w:rPr>
          <w:rFonts w:hint="eastAsia" w:ascii="仿宋" w:hAnsi="仿宋" w:eastAsia="仿宋" w:cs="仿宋"/>
          <w:sz w:val="32"/>
          <w:szCs w:val="32"/>
        </w:rPr>
        <w:t>奖补资金实施办法》的要求、条件、程序和提交材料等，并在该办法有效期限内申请“个转企”奖补资金；</w:t>
      </w:r>
    </w:p>
    <w:p w14:paraId="39BFC57E">
      <w:pPr>
        <w:snapToGrid w:val="0"/>
        <w:spacing w:line="440" w:lineRule="exact"/>
        <w:ind w:firstLine="640" w:firstLineChars="200"/>
        <w:jc w:val="left"/>
        <w:rPr>
          <w:rFonts w:ascii="仿宋" w:hAnsi="仿宋" w:eastAsia="仿宋" w:cs="仿宋"/>
          <w:sz w:val="32"/>
          <w:szCs w:val="32"/>
        </w:rPr>
      </w:pPr>
      <w:r>
        <w:rPr>
          <w:rFonts w:hint="eastAsia" w:ascii="仿宋" w:hAnsi="仿宋" w:eastAsia="仿宋" w:cs="仿宋"/>
          <w:b/>
          <w:bCs/>
          <w:sz w:val="32"/>
          <w:szCs w:val="32"/>
        </w:rPr>
        <w:t>三、</w:t>
      </w:r>
      <w:r>
        <w:rPr>
          <w:rFonts w:hint="eastAsia" w:ascii="仿宋" w:hAnsi="仿宋" w:eastAsia="仿宋" w:cs="仿宋"/>
          <w:sz w:val="32"/>
          <w:szCs w:val="32"/>
        </w:rPr>
        <w:t>对本企业所提供的文件、证件等有关材料及复印件的真实性、合法性、有效性作保证，绝无弄虚作假，并为此承担全部法律责任和后果。</w:t>
      </w:r>
    </w:p>
    <w:p w14:paraId="1A0252C4">
      <w:pPr>
        <w:snapToGrid w:val="0"/>
        <w:spacing w:line="440" w:lineRule="exact"/>
        <w:ind w:left="0" w:leftChars="0" w:firstLine="640" w:firstLineChars="200"/>
        <w:jc w:val="left"/>
        <w:rPr>
          <w:rFonts w:ascii="仿宋" w:hAnsi="仿宋" w:eastAsia="仿宋" w:cs="仿宋"/>
          <w:sz w:val="32"/>
          <w:szCs w:val="32"/>
        </w:rPr>
      </w:pPr>
      <w:r>
        <w:rPr>
          <w:rFonts w:hint="eastAsia" w:ascii="仿宋" w:hAnsi="仿宋" w:eastAsia="仿宋" w:cs="仿宋"/>
          <w:sz w:val="32"/>
          <w:szCs w:val="32"/>
        </w:rPr>
        <w:t>特此承诺。</w:t>
      </w:r>
    </w:p>
    <w:p w14:paraId="4ADEC0CA">
      <w:pPr>
        <w:snapToGrid w:val="0"/>
        <w:spacing w:line="440" w:lineRule="exact"/>
        <w:ind w:firstLine="282"/>
        <w:jc w:val="left"/>
        <w:rPr>
          <w:rFonts w:ascii="仿宋" w:hAnsi="仿宋" w:eastAsia="仿宋" w:cs="仿宋"/>
          <w:sz w:val="32"/>
          <w:szCs w:val="32"/>
        </w:rPr>
      </w:pPr>
    </w:p>
    <w:p w14:paraId="363B8438">
      <w:pPr>
        <w:snapToGrid w:val="0"/>
        <w:spacing w:line="440" w:lineRule="exact"/>
        <w:ind w:firstLine="320" w:firstLineChars="100"/>
        <w:jc w:val="left"/>
        <w:rPr>
          <w:rFonts w:ascii="仿宋" w:hAnsi="仿宋" w:eastAsia="仿宋" w:cs="仿宋"/>
          <w:sz w:val="32"/>
          <w:szCs w:val="32"/>
          <w:lang w:val="zh-TW" w:eastAsia="zh-TW"/>
        </w:rPr>
      </w:pPr>
      <w:r>
        <w:rPr>
          <w:rFonts w:hint="eastAsia" w:ascii="仿宋" w:hAnsi="仿宋" w:eastAsia="仿宋" w:cs="仿宋"/>
          <w:sz w:val="32"/>
          <w:szCs w:val="32"/>
          <w:lang w:val="zh-TW" w:eastAsia="zh-TW"/>
        </w:rPr>
        <w:t>法定</w:t>
      </w:r>
      <w:r>
        <w:rPr>
          <w:rFonts w:hint="eastAsia" w:ascii="仿宋" w:hAnsi="仿宋" w:eastAsia="仿宋" w:cs="仿宋"/>
          <w:sz w:val="32"/>
          <w:szCs w:val="32"/>
        </w:rPr>
        <w:t>代表</w:t>
      </w:r>
      <w:r>
        <w:rPr>
          <w:rFonts w:hint="eastAsia" w:ascii="仿宋" w:hAnsi="仿宋" w:eastAsia="仿宋" w:cs="仿宋"/>
          <w:sz w:val="32"/>
          <w:szCs w:val="32"/>
          <w:lang w:val="zh-TW" w:eastAsia="zh-TW"/>
        </w:rPr>
        <w:t>人</w:t>
      </w:r>
      <w:r>
        <w:rPr>
          <w:rFonts w:hint="eastAsia" w:ascii="仿宋" w:hAnsi="仿宋" w:eastAsia="仿宋" w:cs="仿宋"/>
          <w:sz w:val="32"/>
          <w:szCs w:val="32"/>
        </w:rPr>
        <w:t>/负责人/</w:t>
      </w:r>
      <w:r>
        <w:rPr>
          <w:rFonts w:hint="eastAsia" w:ascii="仿宋" w:hAnsi="仿宋" w:eastAsia="仿宋" w:cs="仿宋"/>
          <w:sz w:val="32"/>
          <w:szCs w:val="32"/>
          <w:lang w:val="zh-TW"/>
        </w:rPr>
        <w:t>执行事务合伙人</w:t>
      </w:r>
      <w:r>
        <w:rPr>
          <w:rFonts w:hint="eastAsia" w:ascii="仿宋" w:hAnsi="仿宋" w:eastAsia="仿宋" w:cs="仿宋"/>
          <w:sz w:val="32"/>
          <w:szCs w:val="32"/>
        </w:rPr>
        <w:t>/</w:t>
      </w:r>
      <w:r>
        <w:rPr>
          <w:rFonts w:hint="eastAsia" w:ascii="仿宋" w:hAnsi="仿宋" w:eastAsia="仿宋" w:cs="仿宋"/>
          <w:sz w:val="32"/>
          <w:szCs w:val="32"/>
          <w:lang w:val="zh-TW"/>
        </w:rPr>
        <w:t>委派代表签名</w:t>
      </w:r>
      <w:r>
        <w:rPr>
          <w:rFonts w:hint="eastAsia" w:ascii="仿宋" w:hAnsi="仿宋" w:eastAsia="仿宋" w:cs="仿宋"/>
          <w:sz w:val="32"/>
          <w:szCs w:val="32"/>
          <w:lang w:val="zh-TW" w:eastAsia="zh-TW"/>
        </w:rPr>
        <w:t>：</w:t>
      </w:r>
    </w:p>
    <w:p w14:paraId="7EA2DB4A">
      <w:pPr>
        <w:snapToGrid w:val="0"/>
        <w:spacing w:line="440" w:lineRule="exact"/>
        <w:ind w:firstLine="320" w:firstLineChars="100"/>
        <w:jc w:val="left"/>
        <w:rPr>
          <w:rFonts w:ascii="仿宋" w:hAnsi="仿宋" w:eastAsia="仿宋" w:cs="仿宋"/>
          <w:sz w:val="32"/>
          <w:szCs w:val="32"/>
          <w:lang w:val="zh-TW"/>
        </w:rPr>
      </w:pPr>
    </w:p>
    <w:p w14:paraId="2F932892">
      <w:pPr>
        <w:snapToGrid w:val="0"/>
        <w:spacing w:line="440" w:lineRule="exact"/>
        <w:ind w:firstLine="320" w:firstLineChars="100"/>
        <w:jc w:val="left"/>
        <w:rPr>
          <w:rFonts w:ascii="仿宋" w:hAnsi="仿宋" w:eastAsia="仿宋" w:cs="仿宋"/>
          <w:sz w:val="32"/>
          <w:szCs w:val="32"/>
          <w:lang w:val="zh-TW"/>
        </w:rPr>
      </w:pPr>
      <w:r>
        <w:rPr>
          <w:rFonts w:hint="eastAsia" w:ascii="仿宋" w:hAnsi="仿宋" w:eastAsia="仿宋" w:cs="仿宋"/>
          <w:sz w:val="32"/>
          <w:szCs w:val="32"/>
          <w:lang w:val="zh-TW"/>
        </w:rPr>
        <w:t>经办人签名：</w:t>
      </w:r>
    </w:p>
    <w:p w14:paraId="55A172A9">
      <w:pPr>
        <w:snapToGrid w:val="0"/>
        <w:spacing w:line="440" w:lineRule="exact"/>
        <w:ind w:firstLine="5120" w:firstLineChars="1600"/>
        <w:jc w:val="left"/>
        <w:rPr>
          <w:rFonts w:hint="eastAsia" w:ascii="仿宋" w:hAnsi="仿宋" w:eastAsia="仿宋" w:cs="仿宋"/>
          <w:sz w:val="32"/>
          <w:szCs w:val="32"/>
          <w:lang w:val="zh-TW"/>
        </w:rPr>
      </w:pPr>
    </w:p>
    <w:p w14:paraId="5E0A052D">
      <w:pPr>
        <w:snapToGrid w:val="0"/>
        <w:spacing w:line="440" w:lineRule="exact"/>
        <w:ind w:firstLine="5440" w:firstLineChars="1700"/>
        <w:jc w:val="left"/>
        <w:rPr>
          <w:rFonts w:hint="eastAsia" w:ascii="仿宋" w:hAnsi="仿宋" w:eastAsia="仿宋" w:cs="仿宋"/>
          <w:sz w:val="32"/>
          <w:szCs w:val="32"/>
          <w:lang w:val="zh-TW"/>
        </w:rPr>
      </w:pPr>
      <w:r>
        <w:rPr>
          <w:rFonts w:hint="eastAsia" w:ascii="仿宋" w:hAnsi="仿宋" w:eastAsia="仿宋" w:cs="仿宋"/>
          <w:sz w:val="32"/>
          <w:szCs w:val="32"/>
          <w:lang w:val="zh-TW"/>
        </w:rPr>
        <w:t>企业</w:t>
      </w:r>
      <w:r>
        <w:rPr>
          <w:rFonts w:hint="eastAsia" w:ascii="仿宋" w:hAnsi="仿宋" w:eastAsia="仿宋" w:cs="仿宋"/>
          <w:sz w:val="32"/>
          <w:szCs w:val="32"/>
          <w:lang w:val="zh-TW" w:eastAsia="zh-TW"/>
        </w:rPr>
        <w:t>盖章</w:t>
      </w:r>
      <w:r>
        <w:rPr>
          <w:rFonts w:hint="eastAsia" w:ascii="仿宋" w:hAnsi="仿宋" w:eastAsia="仿宋" w:cs="仿宋"/>
          <w:sz w:val="32"/>
          <w:szCs w:val="32"/>
          <w:lang w:val="zh-TW"/>
        </w:rPr>
        <w:t>：</w:t>
      </w:r>
    </w:p>
    <w:p w14:paraId="2ECFF4B9">
      <w:pPr>
        <w:pStyle w:val="2"/>
        <w:rPr>
          <w:lang w:val="zh-TW"/>
        </w:rPr>
      </w:pPr>
    </w:p>
    <w:p w14:paraId="5F924B02">
      <w:pPr>
        <w:snapToGrid w:val="0"/>
        <w:spacing w:line="440" w:lineRule="exact"/>
        <w:ind w:firstLine="5440" w:firstLineChars="1700"/>
        <w:jc w:val="left"/>
        <w:rPr>
          <w:rFonts w:ascii="仿宋_GB2312" w:hAnsi="仿宋_GB2312" w:eastAsia="仿宋_GB2312" w:cs="仿宋_GB2312"/>
          <w:color w:val="000000"/>
          <w:kern w:val="0"/>
          <w:sz w:val="32"/>
          <w:szCs w:val="32"/>
        </w:rPr>
      </w:pPr>
      <w:r>
        <w:rPr>
          <w:rFonts w:hint="eastAsia" w:ascii="仿宋" w:hAnsi="仿宋" w:eastAsia="仿宋" w:cs="仿宋"/>
          <w:sz w:val="32"/>
          <w:szCs w:val="32"/>
          <w:lang w:val="zh-TW" w:eastAsia="zh-TW"/>
        </w:rPr>
        <w:t xml:space="preserve">年    月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TW" w:eastAsia="zh-TW"/>
        </w:rPr>
        <w:t xml:space="preserve"> </w:t>
      </w:r>
      <w:r>
        <w:rPr>
          <w:rFonts w:hint="eastAsia" w:ascii="仿宋" w:hAnsi="仿宋" w:eastAsia="仿宋" w:cs="仿宋"/>
          <w:sz w:val="32"/>
          <w:szCs w:val="32"/>
          <w:lang w:val="zh-TW" w:eastAsia="zh-CN"/>
        </w:rPr>
        <w:t>日</w:t>
      </w:r>
    </w:p>
    <w:sectPr>
      <w:headerReference r:id="rId3" w:type="default"/>
      <w:footerReference r:id="rId4" w:type="default"/>
      <w:pgSz w:w="11906" w:h="16838"/>
      <w:pgMar w:top="0" w:right="1474" w:bottom="1134" w:left="1587" w:header="851" w:footer="992" w:gutter="0"/>
      <w:pgNumType w:fmt="numberInDash"/>
      <w:cols w:space="0" w:num="1"/>
      <w:docGrid w:type="linesAndChar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CAC2A0C-8081-4B9B-840C-B2CB83192641}"/>
  </w:font>
  <w:font w:name="黑体">
    <w:panose1 w:val="02010609060101010101"/>
    <w:charset w:val="86"/>
    <w:family w:val="auto"/>
    <w:pitch w:val="default"/>
    <w:sig w:usb0="800002BF" w:usb1="38CF7CFA" w:usb2="00000016" w:usb3="00000000" w:csb0="00040001" w:csb1="00000000"/>
    <w:embedRegular r:id="rId2" w:fontKey="{1CFF369A-1495-4215-9BC9-0DEDBC7B64E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EE0A54D4-B150-4C95-BD3A-DF0A5F7A2885}"/>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4" w:fontKey="{6625617C-BFB9-4CA3-A1AD-EC268CE37201}"/>
  </w:font>
  <w:font w:name="font-weight : 400">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5" w:fontKey="{1FE8F302-B100-4D9E-AE92-50CEEC43C065}"/>
  </w:font>
  <w:font w:name="方正公文小标宋">
    <w:panose1 w:val="02000500000000000000"/>
    <w:charset w:val="86"/>
    <w:family w:val="auto"/>
    <w:pitch w:val="default"/>
    <w:sig w:usb0="A00002BF" w:usb1="38CF7CFA" w:usb2="00000016" w:usb3="00000000" w:csb0="00040001" w:csb1="00000000"/>
    <w:embedRegular r:id="rId6" w:fontKey="{16883F21-6B6A-46FE-BD34-41B27C414C8F}"/>
  </w:font>
  <w:font w:name="仿宋">
    <w:panose1 w:val="02010609060101010101"/>
    <w:charset w:val="86"/>
    <w:family w:val="modern"/>
    <w:pitch w:val="default"/>
    <w:sig w:usb0="800002BF" w:usb1="38CF7CFA" w:usb2="00000016" w:usb3="00000000" w:csb0="00040001" w:csb1="00000000"/>
    <w:embedRegular r:id="rId7" w:fontKey="{146EE68F-112B-4323-8574-16B9689D2E45}"/>
  </w:font>
  <w:font w:name="方正小标宋简体">
    <w:panose1 w:val="03000509000000000000"/>
    <w:charset w:val="86"/>
    <w:family w:val="script"/>
    <w:pitch w:val="default"/>
    <w:sig w:usb0="00000001" w:usb1="080E0000" w:usb2="00000000" w:usb3="00000000" w:csb0="00040000" w:csb1="00000000"/>
    <w:embedRegular r:id="rId8" w:fontKey="{E154A5A4-AF91-4E6C-A30A-8CA2637BB818}"/>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72391">
    <w:pPr>
      <w:pStyle w:val="13"/>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691A97F3">
                <w:pPr>
                  <w:pStyle w:val="13"/>
                  <w:jc w:val="center"/>
                </w:pP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ascii="宋体" w:hAnsi="宋体" w:cs="宋体"/>
                    <w:sz w:val="32"/>
                    <w:szCs w:val="32"/>
                  </w:rPr>
                  <w:t>- 34 -</w:t>
                </w:r>
                <w:r>
                  <w:rPr>
                    <w:rFonts w:hint="eastAsia" w:ascii="宋体" w:hAnsi="宋体" w:cs="宋体"/>
                    <w:sz w:val="32"/>
                    <w:szCs w:val="32"/>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5E125">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B4DFA"/>
    <w:multiLevelType w:val="singleLevel"/>
    <w:tmpl w:val="87FB4DFA"/>
    <w:lvl w:ilvl="0" w:tentative="0">
      <w:start w:val="1"/>
      <w:numFmt w:val="decimal"/>
      <w:pStyle w:val="7"/>
      <w:lvlText w:val="%1."/>
      <w:lvlJc w:val="left"/>
      <w:pPr>
        <w:tabs>
          <w:tab w:val="left" w:pos="360"/>
        </w:tabs>
        <w:ind w:left="360" w:hanging="360"/>
      </w:pPr>
    </w:lvl>
  </w:abstractNum>
  <w:abstractNum w:abstractNumId="1">
    <w:nsid w:val="EF6FA7A3"/>
    <w:multiLevelType w:val="singleLevel"/>
    <w:tmpl w:val="EF6FA7A3"/>
    <w:lvl w:ilvl="0" w:tentative="0">
      <w:start w:val="1"/>
      <w:numFmt w:val="decimal"/>
      <w:pStyle w:val="5"/>
      <w:suff w:val="nothing"/>
      <w:lvlText w:val="%1．"/>
      <w:lvlJc w:val="left"/>
      <w:pPr>
        <w:tabs>
          <w:tab w:val="left" w:pos="0"/>
        </w:tabs>
        <w:ind w:left="0" w:firstLine="624"/>
      </w:pPr>
      <w:rPr>
        <w:rFonts w:hint="default"/>
      </w:rPr>
    </w:lvl>
  </w:abstractNum>
  <w:abstractNum w:abstractNumId="2">
    <w:nsid w:val="594281EF"/>
    <w:multiLevelType w:val="singleLevel"/>
    <w:tmpl w:val="594281EF"/>
    <w:lvl w:ilvl="0" w:tentative="0">
      <w:start w:val="1"/>
      <w:numFmt w:val="chineseCounting"/>
      <w:pStyle w:val="3"/>
      <w:suff w:val="nothing"/>
      <w:lvlText w:val="%1、"/>
      <w:lvlJc w:val="left"/>
      <w:pPr>
        <w:ind w:left="0" w:firstLine="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1"/>
  <w:bordersDoNotSurroundFooter w:val="1"/>
  <w:documentProtection w:enforcement="0"/>
  <w:defaultTabStop w:val="420"/>
  <w:drawingGridHorizontalSpacing w:val="105"/>
  <w:drawingGridVerticalSpacing w:val="167"/>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UxYjc1MzI0NGIwMTNmZGFlZGE2YmQxYjZmYWQwMGMifQ=="/>
  </w:docVars>
  <w:rsids>
    <w:rsidRoot w:val="49937FA3"/>
    <w:rsid w:val="00010757"/>
    <w:rsid w:val="00032C4C"/>
    <w:rsid w:val="00083A40"/>
    <w:rsid w:val="000A1BDF"/>
    <w:rsid w:val="00184A1F"/>
    <w:rsid w:val="00291345"/>
    <w:rsid w:val="002929E9"/>
    <w:rsid w:val="002B45A2"/>
    <w:rsid w:val="00301A84"/>
    <w:rsid w:val="003C4F05"/>
    <w:rsid w:val="00462503"/>
    <w:rsid w:val="004B17B1"/>
    <w:rsid w:val="004C3F2F"/>
    <w:rsid w:val="006355E9"/>
    <w:rsid w:val="00666BCE"/>
    <w:rsid w:val="006E15CA"/>
    <w:rsid w:val="00725944"/>
    <w:rsid w:val="009339FE"/>
    <w:rsid w:val="009A7148"/>
    <w:rsid w:val="009B38CB"/>
    <w:rsid w:val="009D5C34"/>
    <w:rsid w:val="00A502E6"/>
    <w:rsid w:val="00A531B6"/>
    <w:rsid w:val="00A566BC"/>
    <w:rsid w:val="00A9287D"/>
    <w:rsid w:val="00AA2060"/>
    <w:rsid w:val="00B01F9C"/>
    <w:rsid w:val="00B10D9D"/>
    <w:rsid w:val="00BE751F"/>
    <w:rsid w:val="00BF4432"/>
    <w:rsid w:val="00C04D51"/>
    <w:rsid w:val="00C20FC6"/>
    <w:rsid w:val="00C70A0D"/>
    <w:rsid w:val="00C81C75"/>
    <w:rsid w:val="00CE7F23"/>
    <w:rsid w:val="00D552F1"/>
    <w:rsid w:val="00D92552"/>
    <w:rsid w:val="00DF0606"/>
    <w:rsid w:val="00E4133F"/>
    <w:rsid w:val="00E86634"/>
    <w:rsid w:val="00F119E0"/>
    <w:rsid w:val="00F251D4"/>
    <w:rsid w:val="00F80A58"/>
    <w:rsid w:val="00F922A3"/>
    <w:rsid w:val="00FD7C9E"/>
    <w:rsid w:val="02B7743C"/>
    <w:rsid w:val="03554CED"/>
    <w:rsid w:val="03927DEB"/>
    <w:rsid w:val="03A31627"/>
    <w:rsid w:val="04117BDE"/>
    <w:rsid w:val="04622B3B"/>
    <w:rsid w:val="04AC7C62"/>
    <w:rsid w:val="05105FC4"/>
    <w:rsid w:val="062751BA"/>
    <w:rsid w:val="07BE5BBC"/>
    <w:rsid w:val="08424B14"/>
    <w:rsid w:val="08F6744F"/>
    <w:rsid w:val="09512A88"/>
    <w:rsid w:val="09E71220"/>
    <w:rsid w:val="0A811BDF"/>
    <w:rsid w:val="0AA468EF"/>
    <w:rsid w:val="0AE61378"/>
    <w:rsid w:val="0BF00DCF"/>
    <w:rsid w:val="0CE973E0"/>
    <w:rsid w:val="0D164806"/>
    <w:rsid w:val="0D834499"/>
    <w:rsid w:val="0D8443DA"/>
    <w:rsid w:val="0D9A66B1"/>
    <w:rsid w:val="0DCD06A2"/>
    <w:rsid w:val="0DF625B5"/>
    <w:rsid w:val="0E2C583B"/>
    <w:rsid w:val="0E7628C2"/>
    <w:rsid w:val="0EAA07E6"/>
    <w:rsid w:val="0F532EE5"/>
    <w:rsid w:val="0F5C09E4"/>
    <w:rsid w:val="106D7AE1"/>
    <w:rsid w:val="10FE395F"/>
    <w:rsid w:val="11E25D0A"/>
    <w:rsid w:val="122511EF"/>
    <w:rsid w:val="127D3533"/>
    <w:rsid w:val="12AB56A1"/>
    <w:rsid w:val="12E1401B"/>
    <w:rsid w:val="1359373D"/>
    <w:rsid w:val="137766BF"/>
    <w:rsid w:val="13A313A5"/>
    <w:rsid w:val="13CC65AD"/>
    <w:rsid w:val="13E53F0A"/>
    <w:rsid w:val="145E570D"/>
    <w:rsid w:val="15C4065C"/>
    <w:rsid w:val="16163B51"/>
    <w:rsid w:val="16513A8D"/>
    <w:rsid w:val="165A141D"/>
    <w:rsid w:val="167A72D4"/>
    <w:rsid w:val="16EC08E6"/>
    <w:rsid w:val="174844B6"/>
    <w:rsid w:val="17E905DE"/>
    <w:rsid w:val="17ED1A41"/>
    <w:rsid w:val="18621799"/>
    <w:rsid w:val="189E38C0"/>
    <w:rsid w:val="18E95888"/>
    <w:rsid w:val="1A2A247F"/>
    <w:rsid w:val="1A300193"/>
    <w:rsid w:val="1A671030"/>
    <w:rsid w:val="1A8F7F49"/>
    <w:rsid w:val="1AA038F2"/>
    <w:rsid w:val="1AF42B69"/>
    <w:rsid w:val="1B0A232E"/>
    <w:rsid w:val="1B3042D8"/>
    <w:rsid w:val="1B516ADB"/>
    <w:rsid w:val="1BA7556B"/>
    <w:rsid w:val="1C246194"/>
    <w:rsid w:val="1CCB1DD7"/>
    <w:rsid w:val="1DEB415A"/>
    <w:rsid w:val="1E4444BF"/>
    <w:rsid w:val="1E605592"/>
    <w:rsid w:val="1EB04A6F"/>
    <w:rsid w:val="1F910FAC"/>
    <w:rsid w:val="1FBF3557"/>
    <w:rsid w:val="1FCF65CE"/>
    <w:rsid w:val="1FDB459F"/>
    <w:rsid w:val="1FF848AD"/>
    <w:rsid w:val="20161C1E"/>
    <w:rsid w:val="208A6F6C"/>
    <w:rsid w:val="20C53D97"/>
    <w:rsid w:val="20C87ADA"/>
    <w:rsid w:val="20D81670"/>
    <w:rsid w:val="20F44653"/>
    <w:rsid w:val="214A5193"/>
    <w:rsid w:val="21C60E0E"/>
    <w:rsid w:val="225471A6"/>
    <w:rsid w:val="23AB5501"/>
    <w:rsid w:val="23D404B5"/>
    <w:rsid w:val="240D687B"/>
    <w:rsid w:val="24E72808"/>
    <w:rsid w:val="2578385C"/>
    <w:rsid w:val="261C46D6"/>
    <w:rsid w:val="261F3F85"/>
    <w:rsid w:val="264B4F13"/>
    <w:rsid w:val="266F1686"/>
    <w:rsid w:val="271B24F1"/>
    <w:rsid w:val="27BD582B"/>
    <w:rsid w:val="280636FC"/>
    <w:rsid w:val="284D17A9"/>
    <w:rsid w:val="28546167"/>
    <w:rsid w:val="28DC17B6"/>
    <w:rsid w:val="2922122F"/>
    <w:rsid w:val="292518C8"/>
    <w:rsid w:val="29500759"/>
    <w:rsid w:val="2A0A1505"/>
    <w:rsid w:val="2A7C71AE"/>
    <w:rsid w:val="2AEB0FF0"/>
    <w:rsid w:val="2B502184"/>
    <w:rsid w:val="2B9E1C1A"/>
    <w:rsid w:val="2BF725DE"/>
    <w:rsid w:val="2C2C70B5"/>
    <w:rsid w:val="2C3042D8"/>
    <w:rsid w:val="2C3D000B"/>
    <w:rsid w:val="2CFD3986"/>
    <w:rsid w:val="2D2B22BC"/>
    <w:rsid w:val="2D4443C7"/>
    <w:rsid w:val="2E2F348A"/>
    <w:rsid w:val="2EA710C7"/>
    <w:rsid w:val="2EF63F16"/>
    <w:rsid w:val="2FA83122"/>
    <w:rsid w:val="2FB5218C"/>
    <w:rsid w:val="30A37FE0"/>
    <w:rsid w:val="30EC7844"/>
    <w:rsid w:val="31EF3B8A"/>
    <w:rsid w:val="321D17CE"/>
    <w:rsid w:val="323763A7"/>
    <w:rsid w:val="32F2264F"/>
    <w:rsid w:val="332014B8"/>
    <w:rsid w:val="33F73F88"/>
    <w:rsid w:val="340B38E3"/>
    <w:rsid w:val="348770EC"/>
    <w:rsid w:val="34DE757C"/>
    <w:rsid w:val="35855DB9"/>
    <w:rsid w:val="35AD52BB"/>
    <w:rsid w:val="35DB4F37"/>
    <w:rsid w:val="35DE42EA"/>
    <w:rsid w:val="35E328D9"/>
    <w:rsid w:val="36323860"/>
    <w:rsid w:val="37B00EE0"/>
    <w:rsid w:val="37EF445F"/>
    <w:rsid w:val="384C5B05"/>
    <w:rsid w:val="38FB43DD"/>
    <w:rsid w:val="391A1E4D"/>
    <w:rsid w:val="396066D7"/>
    <w:rsid w:val="39673545"/>
    <w:rsid w:val="396A79A0"/>
    <w:rsid w:val="3A8679EF"/>
    <w:rsid w:val="3A8C1FFE"/>
    <w:rsid w:val="3BC83180"/>
    <w:rsid w:val="3BD92D33"/>
    <w:rsid w:val="3CEB2125"/>
    <w:rsid w:val="3CFE686B"/>
    <w:rsid w:val="3D3E3935"/>
    <w:rsid w:val="3D5D7812"/>
    <w:rsid w:val="3EDC66A3"/>
    <w:rsid w:val="3EE90414"/>
    <w:rsid w:val="3F02231F"/>
    <w:rsid w:val="3FBE56A6"/>
    <w:rsid w:val="3FC5623F"/>
    <w:rsid w:val="3FCC493E"/>
    <w:rsid w:val="3FFA1271"/>
    <w:rsid w:val="40D04F17"/>
    <w:rsid w:val="40D24FB7"/>
    <w:rsid w:val="410353DD"/>
    <w:rsid w:val="412F06F7"/>
    <w:rsid w:val="418D05CE"/>
    <w:rsid w:val="41C37192"/>
    <w:rsid w:val="41C44323"/>
    <w:rsid w:val="42661FAE"/>
    <w:rsid w:val="428D41BA"/>
    <w:rsid w:val="42AF4A5E"/>
    <w:rsid w:val="435A4B06"/>
    <w:rsid w:val="43755056"/>
    <w:rsid w:val="441F566A"/>
    <w:rsid w:val="447A424C"/>
    <w:rsid w:val="44FC0945"/>
    <w:rsid w:val="45136A90"/>
    <w:rsid w:val="4551703F"/>
    <w:rsid w:val="45FB5B15"/>
    <w:rsid w:val="4660044A"/>
    <w:rsid w:val="467D250A"/>
    <w:rsid w:val="46CC65B4"/>
    <w:rsid w:val="47185A97"/>
    <w:rsid w:val="47E17B03"/>
    <w:rsid w:val="483D642E"/>
    <w:rsid w:val="48573213"/>
    <w:rsid w:val="48604AAB"/>
    <w:rsid w:val="487E6F65"/>
    <w:rsid w:val="492359B6"/>
    <w:rsid w:val="49464F04"/>
    <w:rsid w:val="49562170"/>
    <w:rsid w:val="49937FA3"/>
    <w:rsid w:val="49F209E4"/>
    <w:rsid w:val="49F86AB7"/>
    <w:rsid w:val="4A2D7D44"/>
    <w:rsid w:val="4A2E5A69"/>
    <w:rsid w:val="4A4F5C17"/>
    <w:rsid w:val="4A64408D"/>
    <w:rsid w:val="4AAC34D1"/>
    <w:rsid w:val="4AAF2603"/>
    <w:rsid w:val="4AD66407"/>
    <w:rsid w:val="4AEA6F4B"/>
    <w:rsid w:val="4BAB0727"/>
    <w:rsid w:val="4BCC236B"/>
    <w:rsid w:val="4BF84EA5"/>
    <w:rsid w:val="4C243E40"/>
    <w:rsid w:val="4C341091"/>
    <w:rsid w:val="4C5C0887"/>
    <w:rsid w:val="4C7D6F7F"/>
    <w:rsid w:val="4C807BFD"/>
    <w:rsid w:val="4D0D2BB8"/>
    <w:rsid w:val="4D6229C0"/>
    <w:rsid w:val="4D753257"/>
    <w:rsid w:val="4DEB4FE6"/>
    <w:rsid w:val="4F0C5B71"/>
    <w:rsid w:val="4F242B69"/>
    <w:rsid w:val="4FAC7BAF"/>
    <w:rsid w:val="500A30E6"/>
    <w:rsid w:val="50582EF5"/>
    <w:rsid w:val="51283BB3"/>
    <w:rsid w:val="51CC0154"/>
    <w:rsid w:val="522A3474"/>
    <w:rsid w:val="52447E3D"/>
    <w:rsid w:val="52EA6406"/>
    <w:rsid w:val="52F53099"/>
    <w:rsid w:val="530533CE"/>
    <w:rsid w:val="545B680F"/>
    <w:rsid w:val="54B45845"/>
    <w:rsid w:val="54DD5CF8"/>
    <w:rsid w:val="55101949"/>
    <w:rsid w:val="55297333"/>
    <w:rsid w:val="558135CE"/>
    <w:rsid w:val="55B8599B"/>
    <w:rsid w:val="560F1037"/>
    <w:rsid w:val="56362B69"/>
    <w:rsid w:val="5680583B"/>
    <w:rsid w:val="56A705AA"/>
    <w:rsid w:val="56C514AE"/>
    <w:rsid w:val="573824FD"/>
    <w:rsid w:val="578B327C"/>
    <w:rsid w:val="57D0006D"/>
    <w:rsid w:val="57E47C5F"/>
    <w:rsid w:val="588B0E82"/>
    <w:rsid w:val="58C3111A"/>
    <w:rsid w:val="597751CB"/>
    <w:rsid w:val="59970D1D"/>
    <w:rsid w:val="59BC7893"/>
    <w:rsid w:val="59CC167A"/>
    <w:rsid w:val="59F30AFE"/>
    <w:rsid w:val="5A924FF7"/>
    <w:rsid w:val="5AEE702D"/>
    <w:rsid w:val="5B2C6344"/>
    <w:rsid w:val="5B631591"/>
    <w:rsid w:val="5BB1194A"/>
    <w:rsid w:val="5BCB785B"/>
    <w:rsid w:val="5BFD3852"/>
    <w:rsid w:val="5C213B9D"/>
    <w:rsid w:val="5C32075C"/>
    <w:rsid w:val="5DB1427D"/>
    <w:rsid w:val="5E5124CB"/>
    <w:rsid w:val="5E8870BD"/>
    <w:rsid w:val="5EF347A5"/>
    <w:rsid w:val="5FE315A4"/>
    <w:rsid w:val="601A2E9D"/>
    <w:rsid w:val="60310F1C"/>
    <w:rsid w:val="60325B5C"/>
    <w:rsid w:val="60BC38AA"/>
    <w:rsid w:val="6172403E"/>
    <w:rsid w:val="61D17580"/>
    <w:rsid w:val="62A340AC"/>
    <w:rsid w:val="62E65D87"/>
    <w:rsid w:val="63284EA9"/>
    <w:rsid w:val="63BF34A4"/>
    <w:rsid w:val="644B1D96"/>
    <w:rsid w:val="64D91EAE"/>
    <w:rsid w:val="653E55BF"/>
    <w:rsid w:val="65926761"/>
    <w:rsid w:val="65C308E1"/>
    <w:rsid w:val="67823110"/>
    <w:rsid w:val="67DC552E"/>
    <w:rsid w:val="67FF1499"/>
    <w:rsid w:val="68151BC5"/>
    <w:rsid w:val="682054FD"/>
    <w:rsid w:val="68420AA9"/>
    <w:rsid w:val="68625187"/>
    <w:rsid w:val="68835B3C"/>
    <w:rsid w:val="68A4233F"/>
    <w:rsid w:val="69681269"/>
    <w:rsid w:val="6C054264"/>
    <w:rsid w:val="6C886664"/>
    <w:rsid w:val="6DF606F4"/>
    <w:rsid w:val="6E0C6169"/>
    <w:rsid w:val="6E76731C"/>
    <w:rsid w:val="6E982992"/>
    <w:rsid w:val="6EC23DFB"/>
    <w:rsid w:val="6F0E417C"/>
    <w:rsid w:val="6F11650E"/>
    <w:rsid w:val="6F2E286E"/>
    <w:rsid w:val="6F4A61A6"/>
    <w:rsid w:val="6F54258C"/>
    <w:rsid w:val="6F944AE4"/>
    <w:rsid w:val="6FCE0989"/>
    <w:rsid w:val="6FFB4570"/>
    <w:rsid w:val="706C1141"/>
    <w:rsid w:val="70F932A7"/>
    <w:rsid w:val="724513C1"/>
    <w:rsid w:val="729A75CE"/>
    <w:rsid w:val="72F5608D"/>
    <w:rsid w:val="732E41AD"/>
    <w:rsid w:val="737732C9"/>
    <w:rsid w:val="73E011FA"/>
    <w:rsid w:val="73E43920"/>
    <w:rsid w:val="74236544"/>
    <w:rsid w:val="750567DC"/>
    <w:rsid w:val="752D7CFA"/>
    <w:rsid w:val="75A72BDB"/>
    <w:rsid w:val="764A782F"/>
    <w:rsid w:val="765658BC"/>
    <w:rsid w:val="76E557A9"/>
    <w:rsid w:val="770E11FA"/>
    <w:rsid w:val="77984DA6"/>
    <w:rsid w:val="78121B08"/>
    <w:rsid w:val="781C51FB"/>
    <w:rsid w:val="78A629E1"/>
    <w:rsid w:val="792E17E3"/>
    <w:rsid w:val="79CA1301"/>
    <w:rsid w:val="7A156DB0"/>
    <w:rsid w:val="7A6A66F1"/>
    <w:rsid w:val="7B950848"/>
    <w:rsid w:val="7D006389"/>
    <w:rsid w:val="7D5A3254"/>
    <w:rsid w:val="7ED32583"/>
    <w:rsid w:val="7F307A03"/>
    <w:rsid w:val="7FFA7337"/>
    <w:rsid w:val="7FFA7B65"/>
    <w:rsid w:val="F7FB92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numPr>
        <w:ilvl w:val="0"/>
        <w:numId w:val="1"/>
      </w:numPr>
      <w:ind w:firstLine="640"/>
      <w:jc w:val="left"/>
      <w:outlineLvl w:val="0"/>
    </w:pPr>
    <w:rPr>
      <w:rFonts w:hint="eastAsia" w:ascii="宋体" w:hAnsi="宋体" w:eastAsia="黑体"/>
      <w:b/>
      <w:bCs/>
      <w:kern w:val="44"/>
      <w:szCs w:val="48"/>
    </w:rPr>
  </w:style>
  <w:style w:type="paragraph" w:styleId="4">
    <w:name w:val="heading 2"/>
    <w:basedOn w:val="1"/>
    <w:next w:val="1"/>
    <w:autoRedefine/>
    <w:qFormat/>
    <w:uiPriority w:val="0"/>
    <w:pPr>
      <w:spacing w:beforeAutospacing="1" w:afterAutospacing="1"/>
      <w:jc w:val="left"/>
      <w:outlineLvl w:val="1"/>
    </w:pPr>
    <w:rPr>
      <w:rFonts w:hint="eastAsia" w:ascii="宋体" w:hAnsi="宋体"/>
      <w:b/>
      <w:kern w:val="0"/>
      <w:sz w:val="36"/>
      <w:szCs w:val="36"/>
    </w:rPr>
  </w:style>
  <w:style w:type="paragraph" w:styleId="5">
    <w:name w:val="heading 3"/>
    <w:basedOn w:val="1"/>
    <w:next w:val="6"/>
    <w:autoRedefine/>
    <w:unhideWhenUsed/>
    <w:qFormat/>
    <w:uiPriority w:val="9"/>
    <w:pPr>
      <w:keepNext/>
      <w:keepLines/>
      <w:numPr>
        <w:ilvl w:val="0"/>
        <w:numId w:val="2"/>
      </w:numPr>
      <w:tabs>
        <w:tab w:val="left" w:pos="420"/>
        <w:tab w:val="left" w:pos="1134"/>
        <w:tab w:val="clear" w:pos="0"/>
      </w:tabs>
      <w:adjustRightInd w:val="0"/>
      <w:spacing w:beforeLines="30" w:afterLines="30"/>
      <w:ind w:firstLine="640"/>
      <w:outlineLvl w:val="2"/>
    </w:pPr>
    <w:rPr>
      <w:b/>
      <w:bCs/>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autoRedefine/>
    <w:qFormat/>
    <w:uiPriority w:val="0"/>
    <w:pPr>
      <w:snapToGrid w:val="0"/>
      <w:jc w:val="left"/>
    </w:pPr>
    <w:rPr>
      <w:sz w:val="18"/>
      <w:szCs w:val="18"/>
    </w:rPr>
  </w:style>
  <w:style w:type="paragraph" w:customStyle="1" w:styleId="6">
    <w:name w:val="正文样式"/>
    <w:basedOn w:val="1"/>
    <w:autoRedefine/>
    <w:qFormat/>
    <w:uiPriority w:val="0"/>
    <w:pPr>
      <w:adjustRightInd w:val="0"/>
      <w:snapToGrid w:val="0"/>
      <w:spacing w:line="360" w:lineRule="auto"/>
      <w:ind w:firstLine="200"/>
    </w:pPr>
    <w:rPr>
      <w:szCs w:val="21"/>
    </w:rPr>
  </w:style>
  <w:style w:type="paragraph" w:styleId="7">
    <w:name w:val="List Number"/>
    <w:basedOn w:val="1"/>
    <w:autoRedefine/>
    <w:qFormat/>
    <w:uiPriority w:val="0"/>
    <w:pPr>
      <w:numPr>
        <w:ilvl w:val="0"/>
        <w:numId w:val="3"/>
      </w:numPr>
    </w:pPr>
  </w:style>
  <w:style w:type="paragraph" w:styleId="8">
    <w:name w:val="Normal Indent"/>
    <w:basedOn w:val="1"/>
    <w:autoRedefine/>
    <w:qFormat/>
    <w:uiPriority w:val="0"/>
    <w:pPr>
      <w:widowControl/>
      <w:spacing w:line="288" w:lineRule="auto"/>
      <w:ind w:firstLine="680"/>
    </w:pPr>
    <w:rPr>
      <w:rFonts w:eastAsia="楷体_GB2312"/>
    </w:rPr>
  </w:style>
  <w:style w:type="paragraph" w:styleId="9">
    <w:name w:val="Body Text"/>
    <w:basedOn w:val="1"/>
    <w:autoRedefine/>
    <w:qFormat/>
    <w:uiPriority w:val="0"/>
    <w:pPr>
      <w:spacing w:before="190"/>
      <w:ind w:left="106"/>
    </w:pPr>
    <w:rPr>
      <w:rFonts w:ascii="宋体" w:hAnsi="宋体" w:cs="宋体"/>
      <w:sz w:val="32"/>
      <w:szCs w:val="32"/>
      <w:lang w:val="zh-CN" w:bidi="zh-CN"/>
    </w:rPr>
  </w:style>
  <w:style w:type="paragraph" w:styleId="10">
    <w:name w:val="Body Text Indent"/>
    <w:basedOn w:val="1"/>
    <w:autoRedefine/>
    <w:qFormat/>
    <w:uiPriority w:val="0"/>
    <w:pPr>
      <w:spacing w:after="120"/>
      <w:ind w:left="420" w:leftChars="200"/>
      <w:jc w:val="left"/>
    </w:pPr>
  </w:style>
  <w:style w:type="paragraph" w:styleId="11">
    <w:name w:val="Plain Text"/>
    <w:basedOn w:val="1"/>
    <w:autoRedefine/>
    <w:qFormat/>
    <w:uiPriority w:val="0"/>
    <w:pPr>
      <w:spacing w:line="580" w:lineRule="exact"/>
      <w:ind w:right="-197" w:firstLine="560" w:firstLineChars="200"/>
    </w:pPr>
    <w:rPr>
      <w:rFonts w:ascii="黑体" w:hAnsi="Courier New" w:eastAsia="黑体"/>
      <w:sz w:val="28"/>
      <w:szCs w:val="20"/>
    </w:rPr>
  </w:style>
  <w:style w:type="paragraph" w:styleId="12">
    <w:name w:val="Balloon Text"/>
    <w:basedOn w:val="1"/>
    <w:link w:val="36"/>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0"/>
    <w:pPr>
      <w:tabs>
        <w:tab w:val="right" w:leader="dot" w:pos="8720"/>
      </w:tabs>
      <w:jc w:val="center"/>
    </w:pPr>
    <w:rPr>
      <w:rFonts w:hint="eastAsia" w:ascii="楷体_GB2312" w:hAnsi="Calibri" w:eastAsia="楷体_GB2312"/>
      <w:sz w:val="36"/>
      <w:szCs w:val="36"/>
    </w:rPr>
  </w:style>
  <w:style w:type="paragraph" w:styleId="1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autoRedefine/>
    <w:qFormat/>
    <w:uiPriority w:val="0"/>
    <w:pPr>
      <w:widowControl/>
      <w:spacing w:before="240" w:after="60" w:line="560" w:lineRule="exact"/>
      <w:jc w:val="center"/>
      <w:outlineLvl w:val="0"/>
    </w:pPr>
    <w:rPr>
      <w:rFonts w:ascii="Arial" w:hAnsi="Arial" w:eastAsia="华文中宋" w:cs="Arial"/>
      <w:b/>
      <w:bCs/>
      <w:color w:val="FF0000"/>
      <w:kern w:val="0"/>
      <w:sz w:val="84"/>
      <w:szCs w:val="84"/>
    </w:rPr>
  </w:style>
  <w:style w:type="paragraph" w:styleId="18">
    <w:name w:val="Body Text First Indent 2"/>
    <w:basedOn w:val="10"/>
    <w:autoRedefine/>
    <w:qFormat/>
    <w:uiPriority w:val="0"/>
    <w:pPr>
      <w:ind w:firstLine="42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b/>
      <w:bCs/>
    </w:rPr>
  </w:style>
  <w:style w:type="character" w:styleId="23">
    <w:name w:val="page number"/>
    <w:basedOn w:val="21"/>
    <w:autoRedefine/>
    <w:qFormat/>
    <w:uiPriority w:val="0"/>
  </w:style>
  <w:style w:type="paragraph" w:customStyle="1" w:styleId="24">
    <w:name w:val="正文（首行缩进2字符）"/>
    <w:basedOn w:val="1"/>
    <w:autoRedefine/>
    <w:qFormat/>
    <w:uiPriority w:val="0"/>
    <w:pPr>
      <w:spacing w:line="360" w:lineRule="auto"/>
      <w:ind w:firstLine="480"/>
    </w:pPr>
    <w:rPr>
      <w:rFonts w:ascii="Calibri" w:hAnsi="Calibri"/>
    </w:rPr>
  </w:style>
  <w:style w:type="paragraph" w:customStyle="1" w:styleId="25">
    <w:name w:val="列出段落1"/>
    <w:basedOn w:val="1"/>
    <w:autoRedefine/>
    <w:qFormat/>
    <w:uiPriority w:val="0"/>
    <w:pPr>
      <w:ind w:firstLine="200" w:firstLineChars="200"/>
    </w:pPr>
    <w:rPr>
      <w:rFonts w:ascii="Calibri" w:hAnsi="Calibri" w:cs="黑体"/>
    </w:rPr>
  </w:style>
  <w:style w:type="paragraph" w:customStyle="1" w:styleId="26">
    <w:name w:val="列出段落2"/>
    <w:basedOn w:val="1"/>
    <w:autoRedefine/>
    <w:qFormat/>
    <w:uiPriority w:val="0"/>
    <w:pPr>
      <w:ind w:firstLine="420" w:firstLineChars="200"/>
    </w:pPr>
  </w:style>
  <w:style w:type="character" w:customStyle="1" w:styleId="27">
    <w:name w:val="font01"/>
    <w:basedOn w:val="21"/>
    <w:autoRedefine/>
    <w:qFormat/>
    <w:uiPriority w:val="0"/>
    <w:rPr>
      <w:rFonts w:ascii="font-weight : 400" w:hAnsi="font-weight : 400" w:eastAsia="font-weight : 400" w:cs="font-weight : 400"/>
      <w:color w:val="000000"/>
      <w:sz w:val="22"/>
      <w:szCs w:val="22"/>
      <w:u w:val="none"/>
    </w:rPr>
  </w:style>
  <w:style w:type="character" w:customStyle="1" w:styleId="28">
    <w:name w:val="font11"/>
    <w:basedOn w:val="21"/>
    <w:autoRedefine/>
    <w:qFormat/>
    <w:uiPriority w:val="0"/>
    <w:rPr>
      <w:rFonts w:hint="eastAsia" w:ascii="宋体" w:hAnsi="宋体" w:eastAsia="宋体" w:cs="宋体"/>
      <w:b/>
      <w:color w:val="000000"/>
      <w:sz w:val="22"/>
      <w:szCs w:val="22"/>
      <w:u w:val="none"/>
    </w:rPr>
  </w:style>
  <w:style w:type="paragraph" w:customStyle="1" w:styleId="29">
    <w:name w:val="Default"/>
    <w:autoRedefine/>
    <w:qFormat/>
    <w:uiPriority w:val="0"/>
    <w:pPr>
      <w:widowControl w:val="0"/>
      <w:autoSpaceDE w:val="0"/>
      <w:autoSpaceDN w:val="0"/>
      <w:adjustRightInd w:val="0"/>
    </w:pPr>
    <w:rPr>
      <w:rFonts w:ascii="仿宋_GB2312" w:hAnsi="Calibri" w:eastAsia="仿宋_GB2312" w:cs="Times New Roman"/>
      <w:color w:val="000000"/>
      <w:sz w:val="24"/>
      <w:szCs w:val="22"/>
      <w:lang w:val="en-US" w:eastAsia="zh-CN" w:bidi="ar-SA"/>
    </w:rPr>
  </w:style>
  <w:style w:type="character" w:customStyle="1" w:styleId="30">
    <w:name w:val="NormalCharacter"/>
    <w:autoRedefine/>
    <w:semiHidden/>
    <w:qFormat/>
    <w:uiPriority w:val="0"/>
    <w:rPr>
      <w:rFonts w:eastAsia="宋体"/>
      <w:kern w:val="2"/>
      <w:sz w:val="21"/>
      <w:lang w:val="en-US" w:eastAsia="zh-CN"/>
    </w:rPr>
  </w:style>
  <w:style w:type="paragraph" w:customStyle="1" w:styleId="31">
    <w:name w:val="BodyText1I2"/>
    <w:basedOn w:val="32"/>
    <w:next w:val="1"/>
    <w:autoRedefine/>
    <w:qFormat/>
    <w:uiPriority w:val="0"/>
    <w:pPr>
      <w:spacing w:line="560" w:lineRule="exact"/>
      <w:ind w:firstLine="420" w:firstLineChars="200"/>
    </w:pPr>
  </w:style>
  <w:style w:type="paragraph" w:customStyle="1" w:styleId="32">
    <w:name w:val="BodyTextIndent"/>
    <w:basedOn w:val="1"/>
    <w:next w:val="31"/>
    <w:autoRedefine/>
    <w:qFormat/>
    <w:uiPriority w:val="0"/>
    <w:pPr>
      <w:spacing w:after="120"/>
      <w:ind w:left="420" w:leftChars="200"/>
    </w:pPr>
    <w:rPr>
      <w:kern w:val="0"/>
      <w:sz w:val="20"/>
      <w:szCs w:val="20"/>
    </w:rPr>
  </w:style>
  <w:style w:type="paragraph" w:customStyle="1" w:styleId="33">
    <w:name w:val="Index1"/>
    <w:basedOn w:val="1"/>
    <w:next w:val="1"/>
    <w:autoRedefine/>
    <w:qFormat/>
    <w:uiPriority w:val="0"/>
    <w:pPr>
      <w:suppressAutoHyphens/>
      <w:textAlignment w:val="baseline"/>
    </w:pPr>
    <w:rPr>
      <w:rFonts w:ascii="Calibri" w:hAnsi="Calibri"/>
      <w:color w:val="000000"/>
      <w:szCs w:val="20"/>
    </w:rPr>
  </w:style>
  <w:style w:type="character" w:customStyle="1" w:styleId="34">
    <w:name w:val="font51"/>
    <w:basedOn w:val="21"/>
    <w:autoRedefine/>
    <w:qFormat/>
    <w:uiPriority w:val="0"/>
    <w:rPr>
      <w:rFonts w:hint="eastAsia" w:ascii="宋体" w:hAnsi="宋体" w:eastAsia="宋体" w:cs="宋体"/>
      <w:color w:val="FF0000"/>
      <w:sz w:val="36"/>
      <w:szCs w:val="36"/>
      <w:u w:val="none"/>
    </w:rPr>
  </w:style>
  <w:style w:type="paragraph" w:styleId="35">
    <w:name w:val="List Paragraph"/>
    <w:basedOn w:val="1"/>
    <w:autoRedefine/>
    <w:unhideWhenUsed/>
    <w:qFormat/>
    <w:uiPriority w:val="1"/>
    <w:pPr>
      <w:ind w:left="2435" w:right="1180" w:hanging="320"/>
    </w:pPr>
    <w:rPr>
      <w:rFonts w:hint="eastAsia"/>
      <w:sz w:val="24"/>
    </w:rPr>
  </w:style>
  <w:style w:type="character" w:customStyle="1" w:styleId="36">
    <w:name w:val="批注框文本 Char"/>
    <w:basedOn w:val="21"/>
    <w:link w:val="12"/>
    <w:autoRedefine/>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5471</Words>
  <Characters>5546</Characters>
  <Lines>4</Lines>
  <Paragraphs>23</Paragraphs>
  <TotalTime>14</TotalTime>
  <ScaleCrop>false</ScaleCrop>
  <LinksUpToDate>false</LinksUpToDate>
  <CharactersWithSpaces>5700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2017-09-08T16:00:00Z</dcterms:created>
  <dc:creator>Administrator</dc:creator>
  <cp:lastModifiedBy>微澜静好</cp:lastModifiedBy>
  <cp:lastPrinted>2024-06-19T08:09:52Z</cp:lastPrinted>
  <dcterms:modified xsi:type="dcterms:W3CDTF">2024-06-19T08:14:42Z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D5479112B0DD4D9E9DF5DF7719426957_13</vt:lpwstr>
  </property>
</Properties>
</file>