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pPr>
      <w:bookmarkStart w:id="0" w:name="_GoBack"/>
      <w:r>
        <w:rPr>
          <w:rFonts w:ascii="方正小标宋简体" w:hAnsi="方正小标宋简体" w:eastAsia="方正小标宋简体" w:cs="方正小标宋简体"/>
          <w:sz w:val="43"/>
          <w:szCs w:val="43"/>
        </w:rPr>
        <w:t>海口市龙华区人民政府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jc w:val="center"/>
        <w:textAlignment w:val="auto"/>
      </w:pPr>
      <w:r>
        <w:rPr>
          <w:rFonts w:hint="eastAsia" w:ascii="方正小标宋简体" w:hAnsi="方正小标宋简体" w:eastAsia="方正小标宋简体" w:cs="方正小标宋简体"/>
          <w:sz w:val="43"/>
          <w:szCs w:val="43"/>
        </w:rPr>
        <w:t>关于2023年海口市龙华区财政决算的报告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both"/>
        <w:textAlignment w:val="auto"/>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ascii="黑体" w:hAnsi="宋体" w:eastAsia="黑体" w:cs="黑体"/>
          <w:sz w:val="31"/>
          <w:szCs w:val="31"/>
        </w:rPr>
        <w:t>一、</w:t>
      </w:r>
      <w:r>
        <w:rPr>
          <w:rFonts w:hint="eastAsia" w:ascii="黑体" w:hAnsi="宋体" w:eastAsia="黑体" w:cs="黑体"/>
          <w:sz w:val="31"/>
          <w:szCs w:val="31"/>
        </w:rPr>
        <w:t>2023年财政收支决算情况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ascii="仿宋_GB2312" w:eastAsia="仿宋_GB2312" w:cs="仿宋_GB2312"/>
          <w:sz w:val="31"/>
          <w:szCs w:val="31"/>
        </w:rPr>
        <w:t>2023年</w:t>
      </w:r>
      <w:r>
        <w:rPr>
          <w:rFonts w:hint="eastAsia" w:ascii="仿宋_GB2312" w:eastAsia="仿宋_GB2312" w:cs="仿宋_GB2312"/>
          <w:sz w:val="31"/>
          <w:szCs w:val="31"/>
        </w:rPr>
        <w:t>，全区部门在区委、区政府区委、区政府的坚强领导下，顶压克难，团结实干，全力推进海南自贸港高质量发展示范区建设，推动财政各项工作不断迈上新台阶，取得新成效。过去一年，区财政始终如一落实过紧日子要求，把财政资金花在龙华发展紧要处、民生急需处，同时不断优化支出结构，盘活存量、用好增量，提高财政资金效益。过去一年，我区坚持稳中求进工作总基调，严格执行区八届人民代表大会第五次会议审查批准的2023年龙华区预算及相关决议，有力增强财政保障能力，深化财政预算管理改革，推动我区经济回升向好，实现地方一般公共预算收入47亿元 ，龙华区决算总体较好。根据中华人民共和国预算法有关规定，重点报告以下情况：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645"/>
        <w:jc w:val="both"/>
        <w:textAlignment w:val="auto"/>
      </w:pPr>
      <w:r>
        <w:rPr>
          <w:rStyle w:val="10"/>
          <w:rFonts w:ascii="楷体_GB2312" w:eastAsia="楷体_GB2312" w:cs="楷体_GB2312"/>
          <w:sz w:val="31"/>
          <w:szCs w:val="31"/>
        </w:rPr>
        <w:t>（一）</w:t>
      </w:r>
      <w:r>
        <w:rPr>
          <w:rStyle w:val="10"/>
          <w:rFonts w:hint="eastAsia" w:ascii="楷体_GB2312" w:eastAsia="楷体_GB2312" w:cs="楷体_GB2312"/>
          <w:sz w:val="31"/>
          <w:szCs w:val="31"/>
        </w:rPr>
        <w:t>一般公共预算收入决算情况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全区一般公共预算收入总计807 ，196万元，较上年同期增收104 ，095万元 ，增长14.8%，完成预算的105.3%。其中，地方一般公共预算收入完成469 ，988万元，较上年自然口径增收86 ，428万元，增长22.5%；同口径增收20 ，493万元，同口径增长4.6%，完成预算的96.8%；上级补助收入186 ，242万元；调入资金4277万元；动用预算稳定调节基金106 ，672万元；上年结余结转收入40 ，017万元。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645"/>
        <w:jc w:val="both"/>
        <w:textAlignment w:val="auto"/>
      </w:pPr>
      <w:r>
        <w:rPr>
          <w:rFonts w:hint="eastAsia" w:ascii="仿宋_GB2312" w:eastAsia="仿宋_GB2312" w:cs="仿宋_GB2312"/>
          <w:sz w:val="31"/>
          <w:szCs w:val="31"/>
        </w:rPr>
        <w:t>与区第八届人民代表大会第五次会议报告的执行数相比：一般公共预算收入总计多2万元，主要是四舍五入差异；上级补助收入多1740万元，主要是上级将原下达至政府性基金预算的补助收入调整至一般公共预算；调入资金少1738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从收入决算具体情况看。税收收入全年完成450 ，264万元 ，完成预算数的95.3%，同口径增长5.8%；非税收入完成19 ，724万元，完成预算数的150.8%，下降17.1%，超出预算较多主要是各镇出售土地整治中产生的耕地指标带来超预期收入，下降幅度大主要是上年非税收入基数高。主要税收收入中，增值税166 ，175万元 ，同口径增长62.3%，主要一是三年疫情平稳后，经济不断回温，批发零售和租赁商务服务等行业的向好回暖，带动增值税增长；二是2022年大规模增值税留抵退税拉低同比基数。企业所得税82 ，177万元，同口径增长14.7%，主要是辖区大型企业汇算清缴缴纳的税收增多拉动。个人所得税68 ，494万元，同口径下降17.7%，主要是个人所得税享惠政策汇算清缴退税增多。土地增值税54 ，542万元，同口径下降21.9%，主要是受我区可用建房用地有限的局限，目前可售房地产的楼盘较少，可清算的土地增值税项目相应减少。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645"/>
        <w:jc w:val="both"/>
        <w:textAlignment w:val="auto"/>
      </w:pPr>
      <w:r>
        <w:rPr>
          <w:rStyle w:val="10"/>
          <w:rFonts w:hint="eastAsia" w:ascii="楷体_GB2312" w:eastAsia="楷体_GB2312" w:cs="楷体_GB2312"/>
          <w:sz w:val="31"/>
          <w:szCs w:val="31"/>
        </w:rPr>
        <w:t>（二）一般公共预算支出决算情况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全区一般公共预算支出总计793 ，952万元，较上年同期增支130 ，868万元，增长19.7%，完成预算的103.5%。其中，地方一般公共预算支出431 ，536万元，较上年同期增支103 ，539万元，增长31.6%，完成预算的94%；上解支出293 ，468万元；调出资金1833万元；安排预算稳定调节基金67 ，115万元。收支相抵，年终结转13 ，244万元。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与区第八届人民代表大会第五次会议报告的执行数相比：一般公共预算支出总计多2万元，主要是四舍五入差异。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从支出决算具体情况看。地方一般公共预算部分支出科目增减幅度较大，教育支出117 ，083万元，增长22.1%，主要一是人员工资类支出较上年有所增长；二是2023年较上年增加海口市海燕小学南校区等项目支出。科学技术支出1102万元，下降28.6%，主要是2023年未安排“互联网+”工作经费。文化旅游体育与传媒支出5078万元，增长53.1%，主要是2023年新增海口骑楼项目中山路街游客服务中心升级改造和旅游业高质量发展奖补资金支出。社会保障和就业支出71 ，291万元 ，增长50.9%。主要是在编在岗人员社保缴纳基数较上年有所增长和开展年金纪实工作。农林水支出34 ，492万元，增长55.6%，该科目新增环卫综合一体化PPP项目经费支出。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firstLine="645"/>
        <w:jc w:val="both"/>
        <w:textAlignment w:val="auto"/>
      </w:pPr>
      <w:r>
        <w:rPr>
          <w:rFonts w:hint="eastAsia" w:ascii="仿宋_GB2312" w:eastAsia="仿宋_GB2312" w:cs="仿宋_GB2312"/>
          <w:sz w:val="31"/>
          <w:szCs w:val="31"/>
        </w:rPr>
        <w:t>2023年，地方预备费预算5000万元未使用，全部转入预算稳定调节基金。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楷体_GB2312" w:eastAsia="楷体_GB2312" w:cs="楷体_GB2312"/>
          <w:sz w:val="31"/>
          <w:szCs w:val="31"/>
        </w:rPr>
        <w:t>（三）政府性基金收支执行情况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全区政府性基金收入总计90 ，905万元，较上年同期增收45 ，482万元，增长100.1%，完成预算的280.4%。其中，地方政府性基金收入52万元，完成预算的104%；债务转贷收入11 ，300万元；政府性基金转移支付收入54 ，485万元；上年结余收入23 ，235万元；调入资金1833万元。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全区政府性基金支出总计82 ，220万元 ，较上年同期增支60 ，032万元，完成预算的253.6%。其中，地方政府性基金支出77 ，540万元 ，完成预算的242.8%；上解上级支出560万元；调出资金4120万元。收支相抵，年终结转8685万元。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与向区第八届人大第五次会议报告的执行数相比：政府性基金收入总计、政府性基金支出总计、转移支付收入和调出资金减少，主要是上级将一笔原下达至政府性基金预算的收入调整至一般公共预算。</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楷体_GB2312" w:eastAsia="楷体_GB2312" w:cs="楷体_GB2312"/>
          <w:sz w:val="31"/>
          <w:szCs w:val="31"/>
        </w:rPr>
        <w:t>（四）国有资本经营预算收支情况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全区国有资本经营预算收入183万元（均为上级转移支付收入）。全区国有资本经营预算支出183万元。收支相抵，年终结余结转0元。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楷体_GB2312" w:eastAsia="楷体_GB2312" w:cs="楷体_GB2312"/>
          <w:sz w:val="31"/>
          <w:szCs w:val="31"/>
        </w:rPr>
        <w:t>（五）地方政府债务情况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2023年，我区新增专项债券11 ，300万元。主要用于龙泉镇蔬菜现代农业产业园、梧桐幼儿园、义龙路片区及万国西路积水点改造工程、龙桥镇域污水贯通配套管网工程等项目。2023年末龙华区债券余额为70 ，785万元。其中，专项债余额70 ，785万元。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黑体" w:hAnsi="宋体" w:eastAsia="黑体" w:cs="黑体"/>
          <w:sz w:val="31"/>
          <w:szCs w:val="31"/>
        </w:rPr>
        <w:t>二、2023年主要财税政策落实和重点财政工作情况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楷体_GB2312" w:eastAsia="楷体_GB2312" w:cs="楷体_GB2312"/>
          <w:sz w:val="31"/>
          <w:szCs w:val="31"/>
        </w:rPr>
        <w:t>（一）统筹资源发挥积极作用，财政保障能力提升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整合统筹区级财力、上级转移资金和专项债等资源，集中财力办大事。全年实现财政总收入807 ，196万元，进一步保障区委、区政府重大战略和决策部署，增强财政资金的指向性和有效性。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仿宋_GB2312" w:eastAsia="仿宋_GB2312" w:cs="仿宋_GB2312"/>
          <w:sz w:val="31"/>
          <w:szCs w:val="31"/>
        </w:rPr>
        <w:t>一是</w:t>
      </w:r>
      <w:r>
        <w:rPr>
          <w:rFonts w:hint="eastAsia" w:ascii="仿宋_GB2312" w:eastAsia="仿宋_GB2312" w:cs="仿宋_GB2312"/>
          <w:sz w:val="31"/>
          <w:szCs w:val="31"/>
        </w:rPr>
        <w:t>地方财政收入迈上新台阶。全年地方一般公共预算收入完成469 ，988万元，同口径增长4.6%。</w:t>
      </w:r>
      <w:r>
        <w:rPr>
          <w:rStyle w:val="10"/>
          <w:rFonts w:hint="eastAsia" w:ascii="仿宋_GB2312" w:eastAsia="仿宋_GB2312" w:cs="仿宋_GB2312"/>
          <w:sz w:val="31"/>
          <w:szCs w:val="31"/>
        </w:rPr>
        <w:t>二是</w:t>
      </w:r>
      <w:r>
        <w:rPr>
          <w:rFonts w:hint="eastAsia" w:ascii="仿宋_GB2312" w:eastAsia="仿宋_GB2312" w:cs="仿宋_GB2312"/>
          <w:sz w:val="31"/>
          <w:szCs w:val="31"/>
        </w:rPr>
        <w:t>提升非税管理水平。成立协税护税工作领导小组，定期调度财政收入，逐项梳理非税收入来源，协调配合非税收入执收部门，坚持应收尽收，应缴尽缴，土地整治项目建设成效显著，耕地指标出售获得8900余万元非税收入。</w:t>
      </w:r>
      <w:r>
        <w:rPr>
          <w:rStyle w:val="10"/>
          <w:rFonts w:hint="eastAsia" w:ascii="仿宋_GB2312" w:eastAsia="仿宋_GB2312" w:cs="仿宋_GB2312"/>
          <w:sz w:val="31"/>
          <w:szCs w:val="31"/>
        </w:rPr>
        <w:t>三是</w:t>
      </w:r>
      <w:r>
        <w:rPr>
          <w:rFonts w:hint="eastAsia" w:ascii="仿宋_GB2312" w:eastAsia="仿宋_GB2312" w:cs="仿宋_GB2312"/>
          <w:sz w:val="31"/>
          <w:szCs w:val="31"/>
        </w:rPr>
        <w:t>推动区级政府投资基金设立。主动谋划，与省财金集团共同设立龙兴数字经济产业基金，利用财政资金撬动社会资本，培育壮大我区优势产业。</w:t>
      </w:r>
      <w:r>
        <w:rPr>
          <w:rStyle w:val="10"/>
          <w:rFonts w:hint="eastAsia" w:ascii="仿宋_GB2312" w:eastAsia="仿宋_GB2312" w:cs="仿宋_GB2312"/>
          <w:sz w:val="31"/>
          <w:szCs w:val="31"/>
        </w:rPr>
        <w:t>四是</w:t>
      </w:r>
      <w:r>
        <w:rPr>
          <w:rFonts w:hint="eastAsia" w:ascii="仿宋_GB2312" w:eastAsia="仿宋_GB2312" w:cs="仿宋_GB2312"/>
          <w:sz w:val="31"/>
          <w:szCs w:val="31"/>
        </w:rPr>
        <w:t>积极争取专项债。成立政府投资项目谋划专班，积极谋划申请地方债项目。其中，义龙路片区及万国西路积水点改造工程、龙泉镇蔬菜现代农业产业园等22个项目通过国家部委审核，发行债券资金1.46亿元。</w:t>
      </w:r>
      <w:r>
        <w:rPr>
          <w:rStyle w:val="10"/>
          <w:rFonts w:hint="eastAsia" w:ascii="仿宋_GB2312" w:eastAsia="仿宋_GB2312" w:cs="仿宋_GB2312"/>
          <w:sz w:val="31"/>
          <w:szCs w:val="31"/>
        </w:rPr>
        <w:t>五是</w:t>
      </w:r>
      <w:r>
        <w:rPr>
          <w:rFonts w:hint="eastAsia" w:ascii="仿宋_GB2312" w:eastAsia="仿宋_GB2312" w:cs="仿宋_GB2312"/>
          <w:sz w:val="31"/>
          <w:szCs w:val="31"/>
        </w:rPr>
        <w:t>主动争取上级资金。区水务、教育等相关部门积极拓宽领域、谋划项目，带着项目主动对接上级，争取更多上级资金，全年争取专项转移支付资金231 ，314万元，较上年全年增加5594万元。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楷体_GB2312" w:eastAsia="楷体_GB2312" w:cs="楷体_GB2312"/>
          <w:sz w:val="31"/>
          <w:szCs w:val="31"/>
        </w:rPr>
        <w:t>（二）精准高效落实财政政策，惠企利民纾困见效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扎实落实中央、省、市和区各项积极的财政政策，用“真金白银”助企惠民。</w:t>
      </w:r>
      <w:r>
        <w:rPr>
          <w:rStyle w:val="10"/>
          <w:rFonts w:hint="eastAsia" w:ascii="仿宋_GB2312" w:eastAsia="仿宋_GB2312" w:cs="仿宋_GB2312"/>
          <w:sz w:val="31"/>
          <w:szCs w:val="31"/>
        </w:rPr>
        <w:t>一是</w:t>
      </w:r>
      <w:r>
        <w:rPr>
          <w:rFonts w:hint="eastAsia" w:ascii="仿宋_GB2312" w:eastAsia="仿宋_GB2312" w:cs="仿宋_GB2312"/>
          <w:sz w:val="31"/>
          <w:szCs w:val="31"/>
        </w:rPr>
        <w:t>落实年度企业奖补兑现。根据市级要求安排区级资金23 ，210万元兑现企业和经营主体各类财政奖补，着力助企减负促进发展，进一步支持实体经济发展。</w:t>
      </w:r>
      <w:r>
        <w:rPr>
          <w:rStyle w:val="10"/>
          <w:rFonts w:hint="eastAsia" w:ascii="仿宋_GB2312" w:eastAsia="仿宋_GB2312" w:cs="仿宋_GB2312"/>
          <w:sz w:val="31"/>
          <w:szCs w:val="31"/>
        </w:rPr>
        <w:t>二是</w:t>
      </w:r>
      <w:r>
        <w:rPr>
          <w:rFonts w:hint="eastAsia" w:ascii="仿宋_GB2312" w:eastAsia="仿宋_GB2312" w:cs="仿宋_GB2312"/>
          <w:sz w:val="31"/>
          <w:szCs w:val="31"/>
        </w:rPr>
        <w:t>落实财政资金直达机制。落实上级惠企利民资金“一竿子插到底”要求，全年拨付中央、省级和市级直达资金51 ，633万元，支出进度96.9%，支持实施困难群众救助金等30个惠企利民项目。</w:t>
      </w:r>
      <w:r>
        <w:rPr>
          <w:rStyle w:val="10"/>
          <w:rFonts w:hint="eastAsia" w:ascii="仿宋_GB2312" w:eastAsia="仿宋_GB2312" w:cs="仿宋_GB2312"/>
          <w:sz w:val="31"/>
          <w:szCs w:val="31"/>
        </w:rPr>
        <w:t>三是</w:t>
      </w:r>
      <w:r>
        <w:rPr>
          <w:rFonts w:hint="eastAsia" w:ascii="仿宋_GB2312" w:eastAsia="仿宋_GB2312" w:cs="仿宋_GB2312"/>
          <w:sz w:val="31"/>
          <w:szCs w:val="31"/>
        </w:rPr>
        <w:t>持续优化政府采购营商环境。主动公开政府采购信息，不断提升政府采购公开透明度。依法办理政府采购投诉案件8件，落实政府采购中小企业预留份额3532万元，加大政府采购支持中小微企业力度，着力保障政府采购当事人合法权益。</w:t>
      </w:r>
      <w:r>
        <w:rPr>
          <w:rStyle w:val="10"/>
          <w:rFonts w:hint="eastAsia" w:ascii="仿宋_GB2312" w:eastAsia="仿宋_GB2312" w:cs="仿宋_GB2312"/>
          <w:sz w:val="31"/>
          <w:szCs w:val="31"/>
        </w:rPr>
        <w:t>四是</w:t>
      </w:r>
      <w:r>
        <w:rPr>
          <w:rFonts w:hint="eastAsia" w:ascii="仿宋_GB2312" w:eastAsia="仿宋_GB2312" w:cs="仿宋_GB2312"/>
          <w:sz w:val="31"/>
          <w:szCs w:val="31"/>
        </w:rPr>
        <w:t>助力骑楼街区发展。投入580万元支持市民游客中心建设，国企减免租金近10万元扶持非遗传承及名人工作室。</w:t>
      </w:r>
      <w:r>
        <w:rPr>
          <w:rStyle w:val="10"/>
          <w:rFonts w:hint="eastAsia" w:ascii="仿宋_GB2312" w:eastAsia="仿宋_GB2312" w:cs="仿宋_GB2312"/>
          <w:sz w:val="31"/>
          <w:szCs w:val="31"/>
        </w:rPr>
        <w:t>五是</w:t>
      </w:r>
      <w:r>
        <w:rPr>
          <w:rFonts w:hint="eastAsia" w:ascii="仿宋_GB2312" w:eastAsia="仿宋_GB2312" w:cs="仿宋_GB2312"/>
          <w:sz w:val="31"/>
          <w:szCs w:val="31"/>
        </w:rPr>
        <w:t>助商惠民，提振消费信心。投入530万元发放消费券，直接带动万象城、海南信兴电器等辖区内各大商圈热度；投入1025万元支持开展辖区内购车直补活动，有效刺激和拉动汽车消费。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楷体_GB2312" w:eastAsia="楷体_GB2312" w:cs="楷体_GB2312"/>
          <w:sz w:val="31"/>
          <w:szCs w:val="31"/>
        </w:rPr>
        <w:t>（三）固本强基兜牢三保底线，民生福祉更加厚实</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民生问题始终是我区工作的重中之重。今年，我区持续加大民生保障力度，民生支出占比保持80%以上，龙华居民的幸福感、获得感不断提升。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仿宋_GB2312" w:eastAsia="仿宋_GB2312" w:cs="仿宋_GB2312"/>
          <w:sz w:val="31"/>
          <w:szCs w:val="31"/>
        </w:rPr>
        <w:t>健全社会保障体系方面。</w:t>
      </w:r>
      <w:r>
        <w:rPr>
          <w:rFonts w:hint="eastAsia" w:ascii="仿宋_GB2312" w:eastAsia="仿宋_GB2312" w:cs="仿宋_GB2312"/>
          <w:sz w:val="31"/>
          <w:szCs w:val="31"/>
        </w:rPr>
        <w:t>全年投入71 ，291万元，较上年增长50.9%。高效足额发放人才住房补贴6170万元，累计发放13267人次，着力解决龙华奋斗人才的后顾之忧。打造20个就业见习基地，增设33个公益性岗位，持续加大对高校毕业生、农村劳动力等重点群体就业扶持力度。投入48.8万元为家庭困难患病妇女236名、患病儿童8名提供爱心医疗救助。按时足额发放优抚补助、退役军人安置等2002万元，强化拥军待遇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仿宋_GB2312" w:eastAsia="仿宋_GB2312" w:cs="仿宋_GB2312"/>
          <w:sz w:val="31"/>
          <w:szCs w:val="31"/>
        </w:rPr>
        <w:t>推动教育优质均衡发展方面</w:t>
      </w:r>
      <w:r>
        <w:rPr>
          <w:rFonts w:hint="eastAsia" w:ascii="仿宋_GB2312" w:eastAsia="仿宋_GB2312" w:cs="仿宋_GB2312"/>
          <w:sz w:val="31"/>
          <w:szCs w:val="31"/>
        </w:rPr>
        <w:t>。全年投入117 ，083万元，较上年增长22.1%。持续加大教育资源有效供给，改善学校基础办学条件 ，海燕小学南校区、梧桐学校开工建设，农垦一小改扩建等4个项目完工，博巷幼儿园等10个在建续建项目有序推进，助力新增义务教育学位约600个、学前教育学位约900个。义务教育阶段课后服务和午餐午休服务实现全覆盖，惠及学生近1.1万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仿宋_GB2312" w:eastAsia="仿宋_GB2312" w:cs="仿宋_GB2312"/>
          <w:sz w:val="31"/>
          <w:szCs w:val="31"/>
        </w:rPr>
        <w:t>促进卫生健康事业发展方面</w:t>
      </w:r>
      <w:r>
        <w:rPr>
          <w:rFonts w:hint="eastAsia" w:ascii="仿宋_GB2312" w:eastAsia="仿宋_GB2312" w:cs="仿宋_GB2312"/>
          <w:sz w:val="31"/>
          <w:szCs w:val="31"/>
        </w:rPr>
        <w:t>。全年投入42 ，881万元，较上年增长23.7%。全力支持区级“2+3”健康服务包疾病筛查工作，超额完成年度筛查任务。公办滨海街道社区卫生服务中心成立并试运营，金贸街道社区卫生服务站装修项目完工。推进基层卫生改革，不断完善激励机制，提升基层医疗工作人员的服务能力和福利待遇。投入1537万元用于“巩卫”工作，顺利通过国家复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仿宋_GB2312" w:eastAsia="仿宋_GB2312" w:cs="仿宋_GB2312"/>
          <w:sz w:val="31"/>
          <w:szCs w:val="31"/>
        </w:rPr>
        <w:t>完善城市功能品质方面</w:t>
      </w:r>
      <w:r>
        <w:rPr>
          <w:rFonts w:hint="eastAsia" w:ascii="仿宋_GB2312" w:eastAsia="仿宋_GB2312" w:cs="仿宋_GB2312"/>
          <w:sz w:val="31"/>
          <w:szCs w:val="31"/>
        </w:rPr>
        <w:t>。全年投入63 ，845万元，较上年增长20%。实施城市更新三年行动计划，预算安排5000万元用于丁村、南大桥等片区城市更新前期工作。投入1112万元用于升级滨濂北社区五里五巷等53条背街小巷，打通金秀路、金盘路至华庭路断头路。投入26 ，375万元对92个老旧小区进行改造，惠及13 ，975户。协调解决5000万元市、区两级资金，助力博义盐灶八灶、面前坡、坡博坡巷3个棚改项目完成回迁1.6万套。</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仿宋_GB2312" w:eastAsia="仿宋_GB2312" w:cs="仿宋_GB2312"/>
          <w:sz w:val="31"/>
          <w:szCs w:val="31"/>
        </w:rPr>
        <w:t>落实乡村振兴战略方面</w:t>
      </w:r>
      <w:r>
        <w:rPr>
          <w:rFonts w:hint="eastAsia" w:ascii="仿宋_GB2312" w:eastAsia="仿宋_GB2312" w:cs="仿宋_GB2312"/>
          <w:sz w:val="31"/>
          <w:szCs w:val="31"/>
        </w:rPr>
        <w:t>。全年投入34 ，492万元，较上年增长55.6%。投入300万元实施30个重点村庄人居环境清整；投入500万元修缮127条“户户通”巷道，提前完成300座户厕改造；投入1060万元完成5个美丽乡村提升项目、农村公益设施项目；投入1054万元保障农村饮水安全补短板工程惠及24个自然村1.56万户居民；投入761万元成立和运营龙华动漫产业园。</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仿宋_GB2312" w:eastAsia="仿宋_GB2312" w:cs="仿宋_GB2312"/>
          <w:sz w:val="31"/>
          <w:szCs w:val="31"/>
        </w:rPr>
        <w:t>提升文化事业发展方面。</w:t>
      </w:r>
      <w:r>
        <w:rPr>
          <w:rFonts w:hint="eastAsia" w:ascii="仿宋_GB2312" w:eastAsia="仿宋_GB2312" w:cs="仿宋_GB2312"/>
          <w:sz w:val="31"/>
          <w:szCs w:val="31"/>
        </w:rPr>
        <w:t>全年投入5078万元，较上年增长53.1%。投入401万元，在区文化馆、区图书馆打造集培训、演艺、阅读和展览等功能于一体的免费开放场馆，龙华区图书馆获评国家一级图书馆；投入400万元做为旅游业高质量发展奖补资金，分别奖励观澜湖旅游度假区和骑楼老街在大力发展演艺+旅游、体育+旅游等新业态上做出的成绩，海口骑楼-外滩获评省级夜间文化和旅游消费集聚区称号。</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仿宋_GB2312" w:eastAsia="仿宋_GB2312" w:cs="仿宋_GB2312"/>
          <w:sz w:val="31"/>
          <w:szCs w:val="31"/>
        </w:rPr>
        <w:t>支持生态环境保护方面</w:t>
      </w:r>
      <w:r>
        <w:rPr>
          <w:rFonts w:hint="eastAsia" w:ascii="仿宋_GB2312" w:eastAsia="仿宋_GB2312" w:cs="仿宋_GB2312"/>
          <w:sz w:val="31"/>
          <w:szCs w:val="31"/>
        </w:rPr>
        <w:t>。全年投入4800万元。支持龙桥镇域污水贯通工程，加快农村生活污水治理，完成市定任务。支持安装建设垃圾分类收集屋150个。支持海口市龙昆沟等11个水体水环境综合治理等，推动水资源系统整治。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Style w:val="10"/>
          <w:rFonts w:hint="eastAsia" w:ascii="楷体_GB2312" w:eastAsia="楷体_GB2312" w:cs="楷体_GB2312"/>
          <w:sz w:val="31"/>
          <w:szCs w:val="31"/>
        </w:rPr>
        <w:t>（四）创新驱动深化改革，财政监管效能进一步凸显</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多个“首次”事项助推完善我区财政监管体系，提升财政资金使用效益和效能。</w:t>
      </w:r>
      <w:r>
        <w:rPr>
          <w:rStyle w:val="10"/>
          <w:rFonts w:hint="eastAsia" w:ascii="仿宋_GB2312" w:eastAsia="仿宋_GB2312" w:cs="仿宋_GB2312"/>
          <w:sz w:val="31"/>
          <w:szCs w:val="31"/>
        </w:rPr>
        <w:t>一是</w:t>
      </w:r>
      <w:r>
        <w:rPr>
          <w:rFonts w:hint="eastAsia" w:ascii="仿宋_GB2312" w:eastAsia="仿宋_GB2312" w:cs="仿宋_GB2312"/>
          <w:sz w:val="31"/>
          <w:szCs w:val="31"/>
        </w:rPr>
        <w:t>落实扩权强区涉及财政领域7项工作。率先完成首笔税款缴入区级金库，投入8044万元支持各职能部门落实扩权强区事项，如20米（含）以下道路附属、城郊结合部及城中村排水管网的建设（改造）、引进人才住房补贴核发等。</w:t>
      </w:r>
      <w:r>
        <w:rPr>
          <w:rStyle w:val="10"/>
          <w:rFonts w:hint="eastAsia" w:ascii="仿宋_GB2312" w:eastAsia="仿宋_GB2312" w:cs="仿宋_GB2312"/>
          <w:sz w:val="31"/>
          <w:szCs w:val="31"/>
        </w:rPr>
        <w:t>二是</w:t>
      </w:r>
      <w:r>
        <w:rPr>
          <w:rFonts w:hint="eastAsia" w:ascii="仿宋_GB2312" w:eastAsia="仿宋_GB2312" w:cs="仿宋_GB2312"/>
          <w:sz w:val="31"/>
          <w:szCs w:val="31"/>
        </w:rPr>
        <w:t>率先印发区级财政评审管理暂行办法，将使用财政性资金安排的工程类、设备采购类、竣工财务（结）决算类等项目列入评审范围，办法印发2个月来，完成10个项目审核，审减资金约600万元。</w:t>
      </w:r>
      <w:r>
        <w:rPr>
          <w:rStyle w:val="10"/>
          <w:rFonts w:hint="eastAsia" w:ascii="仿宋_GB2312" w:eastAsia="仿宋_GB2312" w:cs="仿宋_GB2312"/>
          <w:sz w:val="31"/>
          <w:szCs w:val="31"/>
        </w:rPr>
        <w:t>三是</w:t>
      </w:r>
      <w:r>
        <w:rPr>
          <w:rFonts w:hint="eastAsia" w:ascii="仿宋_GB2312" w:eastAsia="仿宋_GB2312" w:cs="仿宋_GB2312"/>
          <w:sz w:val="31"/>
          <w:szCs w:val="31"/>
        </w:rPr>
        <w:t>修订《海口市龙华区财政资金支出管理办法》，完善资金支出拨付管理程序，进一步规范区级资金支出。</w:t>
      </w:r>
      <w:r>
        <w:rPr>
          <w:rStyle w:val="10"/>
          <w:rFonts w:hint="eastAsia" w:ascii="仿宋_GB2312" w:eastAsia="仿宋_GB2312" w:cs="仿宋_GB2312"/>
          <w:sz w:val="31"/>
          <w:szCs w:val="31"/>
        </w:rPr>
        <w:t>四是</w:t>
      </w:r>
      <w:r>
        <w:rPr>
          <w:rFonts w:hint="eastAsia" w:ascii="仿宋_GB2312" w:eastAsia="仿宋_GB2312" w:cs="仿宋_GB2312"/>
          <w:sz w:val="31"/>
          <w:szCs w:val="31"/>
        </w:rPr>
        <w:t>首次以财政预算管理一体化系统为依托，通过预警监控规则聚焦预算支出环节，及时发现不合规支出，纠错纠偏，全年监控问题项目19个，涉及资金233 ，125万元。</w:t>
      </w:r>
      <w:r>
        <w:rPr>
          <w:rStyle w:val="10"/>
          <w:rFonts w:hint="eastAsia" w:ascii="仿宋_GB2312" w:eastAsia="仿宋_GB2312" w:cs="仿宋_GB2312"/>
          <w:sz w:val="31"/>
          <w:szCs w:val="31"/>
        </w:rPr>
        <w:t>五是</w:t>
      </w:r>
      <w:r>
        <w:rPr>
          <w:rFonts w:hint="eastAsia" w:ascii="仿宋_GB2312" w:eastAsia="仿宋_GB2312" w:cs="仿宋_GB2312"/>
          <w:sz w:val="31"/>
          <w:szCs w:val="31"/>
        </w:rPr>
        <w:t>首次开展区属国企财务审计，加强区属国企财会监督，保障国有资产安全。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黑体" w:hAnsi="宋体" w:eastAsia="黑体" w:cs="黑体"/>
          <w:sz w:val="31"/>
          <w:szCs w:val="31"/>
        </w:rPr>
        <w:t>三、落实区八届人大第四次会议预算决议情况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2023年，按照区八届人大第四次会议关于预算的审查意见，努力培植新的税源，巩固基本盘，拓宽财力来源，同时靠前编制下年度预算，深入推进财政预算绩效管理等，较好地落实了区人大会相关决议要求。</w:t>
      </w:r>
      <w:r>
        <w:rPr>
          <w:rStyle w:val="10"/>
          <w:rFonts w:hint="eastAsia" w:ascii="仿宋_GB2312" w:eastAsia="仿宋_GB2312" w:cs="仿宋_GB2312"/>
          <w:sz w:val="31"/>
          <w:szCs w:val="31"/>
        </w:rPr>
        <w:t>一是</w:t>
      </w:r>
      <w:r>
        <w:rPr>
          <w:rFonts w:hint="eastAsia" w:ascii="仿宋_GB2312" w:eastAsia="仿宋_GB2312" w:cs="仿宋_GB2312"/>
          <w:sz w:val="31"/>
          <w:szCs w:val="31"/>
        </w:rPr>
        <w:t>拓宽财力资金来源渠道。破除各职能部门思维定式，加大本级预算资金，债券资金、上级专项资金统筹力度。通过争取专项债、申报新增国债项目和盘活闲置资产的方式拓宽资金来源。</w:t>
      </w:r>
      <w:r>
        <w:rPr>
          <w:rStyle w:val="10"/>
          <w:rFonts w:hint="eastAsia" w:ascii="仿宋_GB2312" w:eastAsia="仿宋_GB2312" w:cs="仿宋_GB2312"/>
          <w:sz w:val="31"/>
          <w:szCs w:val="31"/>
        </w:rPr>
        <w:t>二是</w:t>
      </w:r>
      <w:r>
        <w:rPr>
          <w:rFonts w:hint="eastAsia" w:ascii="仿宋_GB2312" w:eastAsia="仿宋_GB2312" w:cs="仿宋_GB2312"/>
          <w:sz w:val="31"/>
          <w:szCs w:val="31"/>
        </w:rPr>
        <w:t>建立常态化通报制度，充分利用考核结果，提升资金使用效率。结合省市区绩效管理工作方案，对全区部门的项目支出情况和重点资金支出情况进行考核。同时，持续调整优化支出结构，严格用好预算调整、预算调剂，继续从严控制“三公”经费等一般性支出，集中财力支持重点领域。</w:t>
      </w:r>
      <w:r>
        <w:rPr>
          <w:rStyle w:val="10"/>
          <w:rFonts w:hint="eastAsia" w:ascii="仿宋_GB2312" w:eastAsia="仿宋_GB2312" w:cs="仿宋_GB2312"/>
          <w:sz w:val="31"/>
          <w:szCs w:val="31"/>
        </w:rPr>
        <w:t>三是</w:t>
      </w:r>
      <w:r>
        <w:rPr>
          <w:rFonts w:hint="eastAsia" w:ascii="仿宋_GB2312" w:eastAsia="仿宋_GB2312" w:cs="仿宋_GB2312"/>
          <w:sz w:val="31"/>
          <w:szCs w:val="31"/>
        </w:rPr>
        <w:t>加强预算编制管理，夯实预算执行基础。将零基预算管理理念融入预算编制全过程，预算安排坚持量入为出，并继续加强单位预算编报流程管理，严格遵循《中华人民共和国预算法》相关规定，提前编报，完善程序，将预算编制工作进一步做实、做细、做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jc w:val="both"/>
        <w:textAlignment w:val="auto"/>
      </w:pPr>
      <w:r>
        <w:rPr>
          <w:rFonts w:hint="eastAsia" w:ascii="仿宋_GB2312" w:eastAsia="仿宋_GB2312" w:cs="仿宋_GB2312"/>
          <w:sz w:val="31"/>
          <w:szCs w:val="31"/>
        </w:rPr>
        <w:t>过去一年，随着稳经济政策持续发力，各种组合式惠民利企政策效应不断释放，全区经济延续恢复发展态势，叠加区级加大招商力度对经济的积极影响，为财政收入增长奠定基础。新的一年，我们将继续贯彻落实区委、区政府经济工作会议精神，坚持“稳中求进、以进促稳、先立后破”的工作方式，大力支持战略性新兴产业和未来产业，培育更多产业链龙头企业，着力提升区级经济发展的可持续性，但我们也清醒地认识到我区经济恢复面临的不稳定、不确定因素依然存在，财政收入可持续增长面临不确定性；各领域对财政资金需求不断增大，稳经济、保民生等重点领域支出保障不断加强，财政收支矛盾依然突出。动力与压力并存，信心与决心同在，财政部门将继续在统筹发展和安全，建立可持续的财政保障机制，持续优化支出重点和结构，提升财政资金效益和政策效能上下功夫，切实保障各项重大决策部署落到实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pPr>
      <w:r>
        <w:rPr>
          <w:rFonts w:ascii="Calibri" w:hAnsi="Calibri" w:cs="Calibri"/>
          <w:sz w:val="21"/>
          <w:szCs w:val="21"/>
        </w:rPr>
        <w:t> </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pPr>
    </w:p>
    <w:bookmarkEnd w:id="0"/>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E0E61"/>
    <w:rsid w:val="1626260D"/>
    <w:rsid w:val="1A626652"/>
    <w:rsid w:val="28532D05"/>
    <w:rsid w:val="3B9C7B9A"/>
    <w:rsid w:val="57FCE1F3"/>
    <w:rsid w:val="58952A91"/>
    <w:rsid w:val="5F5B5049"/>
    <w:rsid w:val="61327BB9"/>
    <w:rsid w:val="66B61C45"/>
    <w:rsid w:val="6C5E0382"/>
    <w:rsid w:val="73EDC75C"/>
    <w:rsid w:val="7DF67054"/>
    <w:rsid w:val="7E5F150E"/>
    <w:rsid w:val="7F6E64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otnote reference"/>
    <w:basedOn w:val="9"/>
    <w:qFormat/>
    <w:uiPriority w:val="0"/>
    <w:rPr>
      <w:vertAlign w:val="superscript"/>
    </w:rPr>
  </w:style>
  <w:style w:type="paragraph" w:customStyle="1" w:styleId="12">
    <w:name w:val="样式 首行缩进:  2 字符"/>
    <w:basedOn w:val="1"/>
    <w:qFormat/>
    <w:uiPriority w:val="0"/>
    <w:pPr>
      <w:ind w:firstLine="560"/>
    </w:pPr>
    <w:rPr>
      <w:rFonts w:ascii="Calibri" w:hAnsi="Calibri" w:eastAsia="仿宋"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2024-09-11T00:19:00Z</dcterms:created>
  <dc:creator>Administrator</dc:creator>
  <cp:lastModifiedBy>Administrator</cp:lastModifiedBy>
  <dcterms:modified xsi:type="dcterms:W3CDTF">2024-10-14T07:22:03Z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4D048C5FDB2608595D8A0C67CE5221EA</vt:lpwstr>
  </property>
</Properties>
</file>