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867" w:rightChars="-413"/>
        <w:jc w:val="left"/>
        <w:rPr>
          <w:rFonts w:hint="eastAsia" w:ascii="楷体_GB2312" w:eastAsia="楷体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</w:rPr>
        <w:t>附件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1</w:t>
      </w:r>
    </w:p>
    <w:p>
      <w:pPr>
        <w:spacing w:line="560" w:lineRule="exact"/>
        <w:ind w:right="-867" w:rightChars="-413"/>
        <w:jc w:val="left"/>
        <w:rPr>
          <w:rFonts w:hint="eastAsia" w:ascii="楷体_GB2312" w:eastAsia="楷体_GB2312"/>
          <w:sz w:val="32"/>
          <w:szCs w:val="32"/>
          <w:lang w:val="en-US" w:eastAsia="zh-CN"/>
        </w:rPr>
      </w:pPr>
    </w:p>
    <w:p>
      <w:pPr>
        <w:spacing w:line="560" w:lineRule="exact"/>
        <w:ind w:right="-867" w:rightChars="-413" w:firstLine="1066" w:firstLineChars="295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海口市龙华区202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3</w:t>
      </w:r>
      <w:r>
        <w:rPr>
          <w:rFonts w:hint="eastAsia" w:ascii="黑体" w:eastAsia="黑体"/>
          <w:b/>
          <w:sz w:val="36"/>
          <w:szCs w:val="36"/>
        </w:rPr>
        <w:t>年财政决算公开说明</w:t>
      </w:r>
    </w:p>
    <w:p>
      <w:pPr>
        <w:spacing w:line="560" w:lineRule="exact"/>
        <w:ind w:right="-867" w:rightChars="-413" w:firstLine="832" w:firstLineChars="395"/>
        <w:rPr>
          <w:b/>
          <w:szCs w:val="32"/>
          <w:highlight w:val="yellow"/>
        </w:rPr>
      </w:pPr>
    </w:p>
    <w:p>
      <w:pPr>
        <w:ind w:firstLine="600"/>
        <w:rPr>
          <w:rFonts w:ascii="仿宋" w:hAnsi="仿宋" w:eastAsia="仿宋"/>
          <w:b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</w:rPr>
        <w:t>一、202</w:t>
      </w:r>
      <w:r>
        <w:rPr>
          <w:rFonts w:hint="eastAsia" w:ascii="仿宋" w:hAnsi="仿宋" w:eastAsia="仿宋"/>
          <w:b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>年财政收支决算情况</w:t>
      </w:r>
    </w:p>
    <w:p>
      <w:pPr>
        <w:adjustRightInd w:val="0"/>
        <w:snapToGrid w:val="0"/>
        <w:spacing w:line="580" w:lineRule="exact"/>
        <w:ind w:firstLine="642" w:firstLineChars="200"/>
        <w:rPr>
          <w:rFonts w:ascii="仿宋" w:hAnsi="仿宋" w:eastAsia="仿宋"/>
          <w:b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</w:rPr>
        <w:t>（一）一般公共预算收支决算说明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一般公共预算收入总计807,19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万元，较上年同期增收104,09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万元,增长14.8%，完成预算的105.3%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。其中，地方一般公共预算收入完成469,988万元，较上年自然口径</w:t>
      </w:r>
      <w:r>
        <w:rPr>
          <w:rStyle w:val="10"/>
          <w:rFonts w:ascii="仿宋_GB2312" w:hAnsi="仿宋_GB2312" w:cs="仿宋_GB2312"/>
          <w:b w:val="0"/>
          <w:bCs w:val="0"/>
          <w:sz w:val="32"/>
          <w:szCs w:val="32"/>
          <w:highlight w:val="none"/>
        </w:rPr>
        <w:footnoteReference w:id="0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增收86,428万元，增长22.5%；同口径</w:t>
      </w:r>
      <w:r>
        <w:rPr>
          <w:rStyle w:val="10"/>
          <w:rFonts w:ascii="仿宋_GB2312" w:hAnsi="仿宋_GB2312" w:cs="仿宋_GB2312"/>
          <w:b w:val="0"/>
          <w:bCs w:val="0"/>
          <w:sz w:val="32"/>
          <w:szCs w:val="32"/>
          <w:highlight w:val="none"/>
        </w:rPr>
        <w:footnoteReference w:id="1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增收20,493万元，同口径增长4.6%，完成预算的96.8%；上级补助收入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186,242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元；调入资金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4277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万元；动用预算稳定调节基金106,672万元；上年结余结转收入40,017万元。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一般公共预算支出总计793,95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万元，较上年同期增支130,86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万元，增长19.7%，完成预算的103.5%。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其中，地方一般公共预算支出431,536万元，较上年同期增支103,539万元，增长31.6%，完成预算的94%；上解支出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3,468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万元；调出资金183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万元；安排预算稳定调节基金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67,115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万元。收支相抵，年终结转13,244万元。</w:t>
      </w:r>
    </w:p>
    <w:p>
      <w:pPr>
        <w:adjustRightInd w:val="0"/>
        <w:snapToGrid w:val="0"/>
        <w:spacing w:line="580" w:lineRule="exact"/>
        <w:ind w:firstLine="642" w:firstLineChars="200"/>
        <w:rPr>
          <w:rFonts w:ascii="仿宋" w:hAnsi="仿宋" w:eastAsia="仿宋"/>
          <w:b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</w:rPr>
        <w:t>（二）税收返还和转移支付情况说明</w:t>
      </w:r>
    </w:p>
    <w:p>
      <w:pPr>
        <w:ind w:firstLine="6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highlight w:val="none"/>
        </w:rPr>
        <w:t>年我区收到上级补助收入共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186,242</w:t>
      </w:r>
      <w:r>
        <w:rPr>
          <w:rFonts w:hint="eastAsia" w:ascii="仿宋" w:hAnsi="仿宋" w:eastAsia="仿宋"/>
          <w:sz w:val="32"/>
          <w:szCs w:val="32"/>
          <w:highlight w:val="none"/>
        </w:rPr>
        <w:t>万元，其中返还性收入22,774万元、一般性转移支付收入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133,964</w:t>
      </w:r>
      <w:r>
        <w:rPr>
          <w:rFonts w:hint="eastAsia" w:ascii="仿宋" w:hAnsi="仿宋" w:eastAsia="仿宋"/>
          <w:sz w:val="32"/>
          <w:szCs w:val="32"/>
          <w:highlight w:val="none"/>
        </w:rPr>
        <w:t>万元、专项转移支付收入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29,504</w:t>
      </w:r>
      <w:r>
        <w:rPr>
          <w:rFonts w:hint="eastAsia" w:ascii="仿宋" w:hAnsi="仿宋" w:eastAsia="仿宋"/>
          <w:sz w:val="32"/>
          <w:szCs w:val="32"/>
          <w:highlight w:val="none"/>
        </w:rPr>
        <w:t>万元；上解上级支出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293,468</w:t>
      </w:r>
      <w:r>
        <w:rPr>
          <w:rFonts w:hint="eastAsia" w:ascii="仿宋" w:hAnsi="仿宋" w:eastAsia="仿宋"/>
          <w:sz w:val="32"/>
          <w:szCs w:val="32"/>
          <w:highlight w:val="none"/>
        </w:rPr>
        <w:t>万元。</w:t>
      </w:r>
    </w:p>
    <w:p>
      <w:pPr>
        <w:ind w:firstLine="600"/>
        <w:rPr>
          <w:rFonts w:ascii="仿宋" w:hAnsi="仿宋" w:eastAsia="仿宋"/>
          <w:b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</w:rPr>
        <w:t>二、政府性基金收支说明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</w:rPr>
        <w:t>年，政府性基金收入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总计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90,905</w:t>
      </w:r>
      <w:r>
        <w:rPr>
          <w:rFonts w:hint="eastAsia" w:ascii="仿宋_GB2312" w:eastAsia="仿宋_GB2312"/>
          <w:sz w:val="32"/>
          <w:szCs w:val="32"/>
          <w:highlight w:val="none"/>
        </w:rPr>
        <w:t>万元，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较上年同期增收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45,482万元，增长100.1%，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完成预算的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280.4%。其中，地方政府性基金收入52万元，完成预算的104%；债务转贷收入11,300万元;政府性基金转移支付收入54,485万元；上年结余收入23,235万元；调入资金1833万元。</w:t>
      </w:r>
    </w:p>
    <w:p>
      <w:pPr>
        <w:spacing w:line="660" w:lineRule="exact"/>
        <w:ind w:firstLine="640" w:firstLineChars="200"/>
        <w:jc w:val="lef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政府性基金支出总计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82,220万元,较上年同期增支60,032万元，完成预算的253.6%。其中，地方政府性基金支出77,540万元,完成预算的242.8%；上解上级支出560万元；调出资金4120万元。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收支相抵，年终结转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8685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</w:t>
      </w:r>
    </w:p>
    <w:p>
      <w:pPr>
        <w:spacing w:line="560" w:lineRule="exact"/>
        <w:ind w:right="-867" w:rightChars="-413" w:firstLine="629" w:firstLineChars="196"/>
        <w:rPr>
          <w:rFonts w:ascii="仿宋" w:hAnsi="仿宋" w:eastAsia="仿宋"/>
          <w:b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</w:rPr>
        <w:t>三、“三公”经费说明</w:t>
      </w:r>
    </w:p>
    <w:p>
      <w:pPr>
        <w:autoSpaceDE w:val="0"/>
        <w:autoSpaceDN w:val="0"/>
        <w:adjustRightInd w:val="0"/>
        <w:spacing w:line="360" w:lineRule="auto"/>
        <w:ind w:left="198" w:firstLine="640" w:firstLineChars="200"/>
        <w:jc w:val="left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ascii="仿宋" w:hAnsi="仿宋" w:eastAsia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highlight w:val="none"/>
        </w:rPr>
        <w:t>年我区“三公”经费支出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416</w:t>
      </w:r>
      <w:r>
        <w:rPr>
          <w:rFonts w:hint="eastAsia" w:ascii="仿宋" w:hAnsi="仿宋" w:eastAsia="仿宋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占年预算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50.6%，</w:t>
      </w:r>
      <w:r>
        <w:rPr>
          <w:rFonts w:hint="eastAsia" w:ascii="仿宋" w:hAnsi="仿宋" w:eastAsia="仿宋"/>
          <w:sz w:val="32"/>
          <w:szCs w:val="32"/>
          <w:highlight w:val="none"/>
        </w:rPr>
        <w:t>较上年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84</w:t>
      </w:r>
      <w:r>
        <w:rPr>
          <w:rFonts w:hint="eastAsia" w:ascii="仿宋" w:hAnsi="仿宋" w:eastAsia="仿宋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25.3</w:t>
      </w:r>
      <w:r>
        <w:rPr>
          <w:rFonts w:ascii="仿宋" w:hAnsi="仿宋" w:eastAsia="仿宋"/>
          <w:sz w:val="32"/>
          <w:szCs w:val="32"/>
          <w:highlight w:val="none"/>
        </w:rPr>
        <w:t>%</w:t>
      </w:r>
      <w:r>
        <w:rPr>
          <w:rFonts w:hint="eastAsia" w:ascii="仿宋" w:hAnsi="仿宋" w:eastAsia="仿宋"/>
          <w:sz w:val="32"/>
          <w:szCs w:val="32"/>
          <w:highlight w:val="none"/>
        </w:rPr>
        <w:t>，主要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原因是本年车辆购置及车辆维修燃油费较上年增加。</w:t>
      </w:r>
    </w:p>
    <w:p>
      <w:pPr>
        <w:autoSpaceDE w:val="0"/>
        <w:autoSpaceDN w:val="0"/>
        <w:adjustRightInd w:val="0"/>
        <w:spacing w:line="360" w:lineRule="auto"/>
        <w:ind w:left="198" w:firstLine="640" w:firstLineChars="200"/>
        <w:jc w:val="lef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因公出国（境）费用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年初预算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3万元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，较上年增加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3万元</w:t>
      </w:r>
      <w:r>
        <w:rPr>
          <w:rFonts w:hint="eastAsia" w:ascii="仿宋" w:hAnsi="仿宋" w:eastAsia="仿宋"/>
          <w:sz w:val="32"/>
          <w:szCs w:val="32"/>
          <w:highlight w:val="none"/>
        </w:rPr>
        <w:t>，主要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是区政协赴香港澳门执行开展走访及区政府出访马来西亚、泰国</w:t>
      </w:r>
      <w:r>
        <w:rPr>
          <w:rFonts w:hint="eastAsia" w:ascii="仿宋" w:hAnsi="仿宋" w:eastAsia="仿宋"/>
          <w:sz w:val="32"/>
          <w:szCs w:val="32"/>
          <w:highlight w:val="none"/>
        </w:rPr>
        <w:t>。</w:t>
      </w:r>
    </w:p>
    <w:p>
      <w:pPr>
        <w:autoSpaceDE w:val="0"/>
        <w:autoSpaceDN w:val="0"/>
        <w:adjustRightInd w:val="0"/>
        <w:spacing w:line="360" w:lineRule="auto"/>
        <w:ind w:left="198" w:firstLine="640" w:firstLineChars="200"/>
        <w:jc w:val="lef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公务用车购置及运行维护费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412</w:t>
      </w:r>
      <w:r>
        <w:rPr>
          <w:rFonts w:hint="eastAsia" w:ascii="仿宋" w:hAnsi="仿宋" w:eastAsia="仿宋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占年预算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50.5%，</w:t>
      </w:r>
      <w:r>
        <w:rPr>
          <w:rFonts w:hint="eastAsia" w:ascii="仿宋" w:hAnsi="仿宋" w:eastAsia="仿宋"/>
          <w:sz w:val="32"/>
          <w:szCs w:val="32"/>
          <w:highlight w:val="none"/>
        </w:rPr>
        <w:t>较上年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82</w:t>
      </w:r>
      <w:r>
        <w:rPr>
          <w:rFonts w:hint="eastAsia" w:ascii="仿宋" w:hAnsi="仿宋" w:eastAsia="仿宋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24.85</w:t>
      </w:r>
      <w:r>
        <w:rPr>
          <w:rFonts w:ascii="仿宋" w:hAnsi="仿宋" w:eastAsia="仿宋"/>
          <w:sz w:val="32"/>
          <w:szCs w:val="32"/>
          <w:highlight w:val="none"/>
        </w:rPr>
        <w:t>%</w:t>
      </w:r>
      <w:r>
        <w:rPr>
          <w:rFonts w:hint="eastAsia" w:ascii="仿宋" w:hAnsi="仿宋" w:eastAsia="仿宋"/>
          <w:sz w:val="32"/>
          <w:szCs w:val="32"/>
          <w:highlight w:val="none"/>
        </w:rPr>
        <w:t>。其中公务用车购置费为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104</w:t>
      </w:r>
      <w:r>
        <w:rPr>
          <w:rFonts w:hint="eastAsia" w:ascii="仿宋" w:hAnsi="仿宋" w:eastAsia="仿宋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占年预算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88.1%，</w:t>
      </w:r>
      <w:r>
        <w:rPr>
          <w:rFonts w:hint="eastAsia" w:ascii="仿宋" w:hAnsi="仿宋" w:eastAsia="仿宋"/>
          <w:sz w:val="32"/>
          <w:szCs w:val="32"/>
          <w:highlight w:val="none"/>
        </w:rPr>
        <w:t>较上年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  <w:highlight w:val="none"/>
        </w:rPr>
        <w:t>万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，增长11.8%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highlight w:val="none"/>
        </w:rPr>
        <w:t>公务用车运行维护费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308</w:t>
      </w:r>
      <w:r>
        <w:rPr>
          <w:rFonts w:hint="eastAsia" w:ascii="仿宋" w:hAnsi="仿宋" w:eastAsia="仿宋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占年预算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44.1%，</w:t>
      </w:r>
      <w:r>
        <w:rPr>
          <w:rFonts w:hint="eastAsia" w:ascii="仿宋" w:hAnsi="仿宋" w:eastAsia="仿宋"/>
          <w:sz w:val="32"/>
          <w:szCs w:val="32"/>
          <w:highlight w:val="none"/>
        </w:rPr>
        <w:t>较上年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71</w:t>
      </w:r>
      <w:r>
        <w:rPr>
          <w:rFonts w:hint="eastAsia" w:ascii="仿宋" w:hAnsi="仿宋" w:eastAsia="仿宋"/>
          <w:sz w:val="32"/>
          <w:szCs w:val="32"/>
          <w:highlight w:val="none"/>
        </w:rPr>
        <w:t>万元，下降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增长30</w:t>
      </w:r>
      <w:r>
        <w:rPr>
          <w:rFonts w:ascii="仿宋" w:hAnsi="仿宋" w:eastAsia="仿宋"/>
          <w:sz w:val="32"/>
          <w:szCs w:val="32"/>
          <w:highlight w:val="none"/>
        </w:rPr>
        <w:t>%</w:t>
      </w:r>
      <w:r>
        <w:rPr>
          <w:rFonts w:hint="eastAsia" w:ascii="仿宋" w:hAnsi="仿宋" w:eastAsia="仿宋"/>
          <w:sz w:val="32"/>
          <w:szCs w:val="32"/>
          <w:highlight w:val="none"/>
        </w:rPr>
        <w:t>。公务用车购置费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及</w:t>
      </w:r>
      <w:r>
        <w:rPr>
          <w:rFonts w:hint="eastAsia" w:ascii="仿宋" w:hAnsi="仿宋" w:eastAsia="仿宋"/>
          <w:sz w:val="32"/>
          <w:szCs w:val="32"/>
          <w:highlight w:val="none"/>
        </w:rPr>
        <w:t>公务用车运行维护费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highlight w:val="none"/>
        </w:rPr>
        <w:t>的主要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原因是收疫情管控结束的影响，各项工作开展业务量较上年增加，车辆出勤率增加，车辆维护费及油料费增加较多；车辆老化严重致油耗及维修费增加</w:t>
      </w:r>
      <w:r>
        <w:rPr>
          <w:rFonts w:hint="eastAsia" w:ascii="仿宋" w:hAnsi="仿宋" w:eastAsia="仿宋"/>
          <w:sz w:val="32"/>
          <w:szCs w:val="32"/>
          <w:highlight w:val="none"/>
        </w:rPr>
        <w:t>。</w:t>
      </w:r>
    </w:p>
    <w:p>
      <w:pPr>
        <w:autoSpaceDE w:val="0"/>
        <w:autoSpaceDN w:val="0"/>
        <w:adjustRightInd w:val="0"/>
        <w:spacing w:line="360" w:lineRule="auto"/>
        <w:ind w:left="198" w:firstLine="640" w:firstLineChars="200"/>
        <w:jc w:val="left"/>
      </w:pPr>
      <w:r>
        <w:rPr>
          <w:rFonts w:hint="eastAsia" w:ascii="仿宋" w:hAnsi="仿宋" w:eastAsia="仿宋"/>
          <w:sz w:val="32"/>
          <w:szCs w:val="32"/>
          <w:highlight w:val="none"/>
        </w:rPr>
        <w:t>公务接待费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减少1</w:t>
      </w:r>
      <w:r>
        <w:rPr>
          <w:rFonts w:hint="eastAsia" w:ascii="仿宋" w:hAnsi="仿宋" w:eastAsia="仿宋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50</w:t>
      </w:r>
      <w:r>
        <w:rPr>
          <w:rFonts w:ascii="仿宋" w:hAnsi="仿宋" w:eastAsia="仿宋"/>
          <w:sz w:val="32"/>
          <w:szCs w:val="32"/>
          <w:highlight w:val="none"/>
        </w:rPr>
        <w:t>%</w:t>
      </w:r>
      <w:r>
        <w:rPr>
          <w:rFonts w:hint="eastAsia" w:ascii="仿宋" w:hAnsi="仿宋" w:eastAsia="仿宋"/>
          <w:sz w:val="32"/>
          <w:szCs w:val="32"/>
          <w:highlight w:val="none"/>
        </w:rPr>
        <w:t>，主要原因是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机关事务管理局接待费较上年减少</w:t>
      </w:r>
      <w:r>
        <w:rPr>
          <w:rFonts w:hint="eastAsia" w:ascii="仿宋" w:hAnsi="仿宋" w:eastAsia="仿宋"/>
          <w:sz w:val="32"/>
          <w:szCs w:val="32"/>
          <w:highlight w:val="none"/>
        </w:rPr>
        <w:t>。</w:t>
      </w:r>
    </w:p>
    <w:p>
      <w:pPr>
        <w:ind w:firstLine="600"/>
        <w:rPr>
          <w:rFonts w:ascii="仿宋" w:hAnsi="仿宋" w:eastAsia="仿宋"/>
          <w:b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  <w:lang w:eastAsia="zh-CN"/>
        </w:rPr>
        <w:t>四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>、举借债务情况说明</w:t>
      </w:r>
    </w:p>
    <w:p>
      <w:pPr>
        <w:adjustRightInd w:val="0"/>
        <w:snapToGrid w:val="0"/>
        <w:ind w:firstLine="640" w:firstLineChars="200"/>
        <w:jc w:val="lef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我区202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接收市级转贷收入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11,300万元，</w:t>
      </w:r>
      <w:r>
        <w:rPr>
          <w:rFonts w:hint="eastAsia" w:ascii="仿宋" w:hAnsi="仿宋" w:eastAsia="仿宋"/>
          <w:sz w:val="32"/>
          <w:szCs w:val="32"/>
          <w:highlight w:val="none"/>
        </w:rPr>
        <w:t>未发行地方政府债券。</w:t>
      </w:r>
    </w:p>
    <w:p>
      <w:pPr>
        <w:ind w:firstLine="600"/>
        <w:rPr>
          <w:rFonts w:ascii="仿宋" w:hAnsi="仿宋" w:eastAsia="仿宋"/>
          <w:b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  <w:lang w:eastAsia="zh-CN"/>
        </w:rPr>
        <w:t>五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>、国有经营收支表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区国有资本经营预算收入183万元（均为上级转移支付收入）。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区国有资本经营预算支出183万元。收支相抵，年终结余结转0元。</w:t>
      </w:r>
    </w:p>
    <w:p>
      <w:pPr>
        <w:ind w:firstLine="600"/>
        <w:rPr>
          <w:rFonts w:ascii="仿宋" w:hAnsi="仿宋" w:eastAsia="仿宋"/>
          <w:b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  <w:lang w:eastAsia="zh-CN"/>
        </w:rPr>
        <w:t>六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>、社会保险基金收支表</w:t>
      </w:r>
    </w:p>
    <w:p>
      <w:pPr>
        <w:ind w:firstLine="600"/>
        <w:rPr>
          <w:rFonts w:ascii="仿宋" w:hAnsi="仿宋" w:eastAsia="仿宋"/>
          <w:b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社会保险基金由海口市统一管理，因此我区未编制社保基金收支表。</w:t>
      </w:r>
    </w:p>
    <w:p>
      <w:pPr>
        <w:ind w:firstLine="600"/>
        <w:rPr>
          <w:rFonts w:ascii="仿宋" w:hAnsi="仿宋" w:eastAsia="仿宋"/>
          <w:b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  <w:lang w:eastAsia="zh-CN"/>
        </w:rPr>
        <w:t>七</w:t>
      </w: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  <w:highlight w:val="none"/>
        </w:rPr>
        <w:t>、转移性支付分地区、分项目情况说明</w:t>
      </w:r>
    </w:p>
    <w:p>
      <w:pPr>
        <w:ind w:firstLine="6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我区未编制转移性支付分地区、分项目情况表。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5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6"/>
        <w:rPr>
          <w:rFonts w:hint="eastAsia"/>
        </w:rPr>
      </w:pPr>
      <w:r>
        <w:rPr>
          <w:rStyle w:val="10"/>
        </w:rPr>
        <w:footnoteRef/>
      </w:r>
      <w:r>
        <w:rPr>
          <w:rFonts w:hint="eastAsia"/>
        </w:rPr>
        <w:t>自然口径：指2023年地方一般公共预算收入较2022年实际完成的地方一般公共预算收入的增减变动情况。</w:t>
      </w:r>
    </w:p>
  </w:footnote>
  <w:footnote w:id="1">
    <w:p>
      <w:pPr>
        <w:pStyle w:val="6"/>
        <w:rPr>
          <w:rFonts w:hint="eastAsia"/>
        </w:rPr>
      </w:pPr>
      <w:r>
        <w:rPr>
          <w:rStyle w:val="10"/>
        </w:rPr>
        <w:footnoteRef/>
      </w:r>
      <w:r>
        <w:rPr>
          <w:rFonts w:hint="eastAsia"/>
        </w:rPr>
        <w:t>同口径：指将2022年地方一般公共预算收入按2023年税收体制进行换算后，再与2023年地方一般公共预算收入进行比较。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CEC"/>
    <w:rsid w:val="00032624"/>
    <w:rsid w:val="000353F0"/>
    <w:rsid w:val="000417FE"/>
    <w:rsid w:val="000506B5"/>
    <w:rsid w:val="000955E8"/>
    <w:rsid w:val="000A2591"/>
    <w:rsid w:val="000F3237"/>
    <w:rsid w:val="00125B96"/>
    <w:rsid w:val="001366EC"/>
    <w:rsid w:val="0014026E"/>
    <w:rsid w:val="00144149"/>
    <w:rsid w:val="001678C6"/>
    <w:rsid w:val="00197335"/>
    <w:rsid w:val="001B299D"/>
    <w:rsid w:val="001B4A72"/>
    <w:rsid w:val="001C390B"/>
    <w:rsid w:val="002200EF"/>
    <w:rsid w:val="002742CC"/>
    <w:rsid w:val="00284235"/>
    <w:rsid w:val="002C1C40"/>
    <w:rsid w:val="002D2F9B"/>
    <w:rsid w:val="002F3A49"/>
    <w:rsid w:val="002F5044"/>
    <w:rsid w:val="00324D3F"/>
    <w:rsid w:val="00335172"/>
    <w:rsid w:val="00367CEC"/>
    <w:rsid w:val="00384EA7"/>
    <w:rsid w:val="003862E3"/>
    <w:rsid w:val="003A14BB"/>
    <w:rsid w:val="003C15B1"/>
    <w:rsid w:val="00424933"/>
    <w:rsid w:val="00446F4C"/>
    <w:rsid w:val="00491A4C"/>
    <w:rsid w:val="00495D34"/>
    <w:rsid w:val="004C2818"/>
    <w:rsid w:val="004F5CB9"/>
    <w:rsid w:val="00596D1E"/>
    <w:rsid w:val="005A1603"/>
    <w:rsid w:val="00660ACE"/>
    <w:rsid w:val="00673ADE"/>
    <w:rsid w:val="006A0868"/>
    <w:rsid w:val="006A5F27"/>
    <w:rsid w:val="006A5FD0"/>
    <w:rsid w:val="006D2B9B"/>
    <w:rsid w:val="006D30A6"/>
    <w:rsid w:val="0078179C"/>
    <w:rsid w:val="0079697C"/>
    <w:rsid w:val="007A27CD"/>
    <w:rsid w:val="007B6DCC"/>
    <w:rsid w:val="007E6629"/>
    <w:rsid w:val="008A0EE9"/>
    <w:rsid w:val="008C71DF"/>
    <w:rsid w:val="008D5A00"/>
    <w:rsid w:val="009142AE"/>
    <w:rsid w:val="009A1828"/>
    <w:rsid w:val="009E09BC"/>
    <w:rsid w:val="009F0945"/>
    <w:rsid w:val="00A122AA"/>
    <w:rsid w:val="00A85528"/>
    <w:rsid w:val="00A858E0"/>
    <w:rsid w:val="00AA526E"/>
    <w:rsid w:val="00AB02FA"/>
    <w:rsid w:val="00B06B1E"/>
    <w:rsid w:val="00B670EA"/>
    <w:rsid w:val="00B74FB9"/>
    <w:rsid w:val="00B93410"/>
    <w:rsid w:val="00BB0795"/>
    <w:rsid w:val="00BB7D17"/>
    <w:rsid w:val="00BE0AB5"/>
    <w:rsid w:val="00BE1421"/>
    <w:rsid w:val="00BF77BB"/>
    <w:rsid w:val="00C104EC"/>
    <w:rsid w:val="00C4077C"/>
    <w:rsid w:val="00C635D7"/>
    <w:rsid w:val="00C85046"/>
    <w:rsid w:val="00CA4E9E"/>
    <w:rsid w:val="00D16815"/>
    <w:rsid w:val="00D409AC"/>
    <w:rsid w:val="00D553B9"/>
    <w:rsid w:val="00D84853"/>
    <w:rsid w:val="00E27FC7"/>
    <w:rsid w:val="00E63518"/>
    <w:rsid w:val="00EF033D"/>
    <w:rsid w:val="00F13898"/>
    <w:rsid w:val="00F95D7E"/>
    <w:rsid w:val="07EF6DDE"/>
    <w:rsid w:val="0CB40E31"/>
    <w:rsid w:val="0D0166EE"/>
    <w:rsid w:val="0F3C6A64"/>
    <w:rsid w:val="196750EF"/>
    <w:rsid w:val="1AACBE33"/>
    <w:rsid w:val="25F40A5A"/>
    <w:rsid w:val="2C703E76"/>
    <w:rsid w:val="3A552778"/>
    <w:rsid w:val="3E667D4E"/>
    <w:rsid w:val="40AD7DA0"/>
    <w:rsid w:val="49F12A01"/>
    <w:rsid w:val="4F97D2DF"/>
    <w:rsid w:val="51C04B6F"/>
    <w:rsid w:val="54FE26FF"/>
    <w:rsid w:val="57BFA85D"/>
    <w:rsid w:val="5EED39D1"/>
    <w:rsid w:val="67B986F4"/>
    <w:rsid w:val="6DFDCBBE"/>
    <w:rsid w:val="6FFF90A2"/>
    <w:rsid w:val="779F5E31"/>
    <w:rsid w:val="7BBBA3BA"/>
    <w:rsid w:val="7CFB81B4"/>
    <w:rsid w:val="7DB9653A"/>
    <w:rsid w:val="7F37C202"/>
    <w:rsid w:val="9FDE711C"/>
    <w:rsid w:val="A6D72BC8"/>
    <w:rsid w:val="BBFFC41B"/>
    <w:rsid w:val="BFDF73E2"/>
    <w:rsid w:val="CFF7362B"/>
    <w:rsid w:val="D5BF4733"/>
    <w:rsid w:val="D7AB52A0"/>
    <w:rsid w:val="DBEBFE7C"/>
    <w:rsid w:val="DDF4B590"/>
    <w:rsid w:val="F3FE3DE6"/>
    <w:rsid w:val="F5EFF1E0"/>
    <w:rsid w:val="F7BB4C1F"/>
    <w:rsid w:val="FDF5D6EE"/>
    <w:rsid w:val="FF6F582F"/>
    <w:rsid w:val="FFBF8CC0"/>
    <w:rsid w:val="FFCFDBA1"/>
    <w:rsid w:val="FFF2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ind w:right="-334" w:rightChars="-159" w:firstLine="630"/>
    </w:pPr>
    <w:rPr>
      <w:rFonts w:ascii="仿宋_GB2312" w:eastAsia="仿宋_GB2312"/>
      <w:sz w:val="32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7"/>
    <w:qFormat/>
    <w:uiPriority w:val="0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footnote reference"/>
    <w:basedOn w:val="9"/>
    <w:qFormat/>
    <w:uiPriority w:val="0"/>
    <w:rPr>
      <w:vertAlign w:val="superscript"/>
    </w:rPr>
  </w:style>
  <w:style w:type="paragraph" w:customStyle="1" w:styleId="11">
    <w:name w:val="Char Char2 Char Char"/>
    <w:basedOn w:val="1"/>
    <w:qFormat/>
    <w:uiPriority w:val="0"/>
    <w:pPr>
      <w:adjustRightInd w:val="0"/>
      <w:spacing w:line="360" w:lineRule="auto"/>
    </w:pPr>
    <w:rPr>
      <w:sz w:val="28"/>
      <w:szCs w:val="28"/>
    </w:rPr>
  </w:style>
  <w:style w:type="paragraph" w:customStyle="1" w:styleId="12">
    <w:name w:val="样式 财报正文宋体小四1.5倍 + 首行缩进:  2 字符"/>
    <w:basedOn w:val="1"/>
    <w:qFormat/>
    <w:uiPriority w:val="0"/>
    <w:pPr>
      <w:adjustRightInd w:val="0"/>
      <w:snapToGrid w:val="0"/>
      <w:spacing w:line="360" w:lineRule="auto"/>
      <w:ind w:firstLine="480" w:firstLineChars="200"/>
    </w:pPr>
    <w:rPr>
      <w:rFonts w:ascii="宋体" w:hAnsi="宋体" w:cs="宋体"/>
      <w:sz w:val="24"/>
      <w:szCs w:val="20"/>
    </w:rPr>
  </w:style>
  <w:style w:type="paragraph" w:customStyle="1" w:styleId="13">
    <w:name w:val="Char Char Char Char"/>
    <w:basedOn w:val="1"/>
    <w:qFormat/>
    <w:uiPriority w:val="0"/>
    <w:rPr>
      <w:szCs w:val="21"/>
    </w:rPr>
  </w:style>
  <w:style w:type="character" w:customStyle="1" w:styleId="14">
    <w:name w:val="页脚 Char"/>
    <w:basedOn w:val="9"/>
    <w:link w:val="4"/>
    <w:qFormat/>
    <w:uiPriority w:val="99"/>
    <w:rPr>
      <w:kern w:val="2"/>
      <w:sz w:val="18"/>
      <w:szCs w:val="18"/>
    </w:rPr>
  </w:style>
  <w:style w:type="character" w:customStyle="1" w:styleId="15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6">
    <w:name w:val="fontstyle01"/>
    <w:basedOn w:val="9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7">
    <w:name w:val="脚注文本 Char"/>
    <w:basedOn w:val="9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5</Pages>
  <Words>346</Words>
  <Characters>1977</Characters>
  <Lines>16</Lines>
  <Paragraphs>4</Paragraphs>
  <TotalTime>0</TotalTime>
  <ScaleCrop>false</ScaleCrop>
  <LinksUpToDate>false</LinksUpToDate>
  <CharactersWithSpaces>2319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2018-08-27T23:34:00Z</dcterms:created>
  <dc:creator>user</dc:creator>
  <cp:lastModifiedBy>greatwall</cp:lastModifiedBy>
  <dcterms:modified xsi:type="dcterms:W3CDTF">2024-10-14T11:01:31Z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3995667D4AEA0D7F259BF6647D379062</vt:lpwstr>
  </property>
</Properties>
</file>