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both"/>
        <w:rPr>
          <w:rFonts w:ascii="Calibri" w:hAnsi="Calibri" w:eastAsia="Calibri" w:cs="Calibri"/>
          <w:color w:val="auto"/>
          <w:spacing w:val="0"/>
          <w:position w:val="0"/>
          <w:sz w:val="84"/>
          <w:u w:val="single"/>
          <w:shd w:val="clear" w:fill="auto"/>
        </w:rPr>
      </w:pPr>
      <w:bookmarkStart w:id="6" w:name="_GoBack"/>
      <w:bookmarkEnd w:id="6"/>
    </w:p>
    <w:p>
      <w:pPr>
        <w:spacing w:before="0" w:after="0" w:line="240" w:lineRule="auto"/>
        <w:ind w:left="0" w:right="0" w:firstLine="0"/>
        <w:jc w:val="both"/>
        <w:rPr>
          <w:rFonts w:ascii="Calibri" w:hAnsi="Calibri" w:eastAsia="Calibri" w:cs="Calibri"/>
          <w:color w:val="auto"/>
          <w:spacing w:val="0"/>
          <w:position w:val="0"/>
          <w:sz w:val="84"/>
          <w:u w:val="single"/>
          <w:shd w:val="clear" w:fill="auto"/>
        </w:rPr>
      </w:pPr>
    </w:p>
    <w:p>
      <w:pPr>
        <w:spacing w:before="0" w:after="0" w:line="240" w:lineRule="auto"/>
        <w:ind w:left="0" w:right="0" w:firstLine="0"/>
        <w:jc w:val="both"/>
        <w:rPr>
          <w:rFonts w:ascii="Calibri" w:hAnsi="Calibri" w:eastAsia="Calibri" w:cs="Calibri"/>
          <w:color w:val="auto"/>
          <w:spacing w:val="0"/>
          <w:position w:val="0"/>
          <w:sz w:val="84"/>
          <w:u w:val="single"/>
          <w:shd w:val="clear" w:fill="auto"/>
        </w:rPr>
      </w:pPr>
    </w:p>
    <w:p>
      <w:pPr>
        <w:spacing w:before="0" w:after="0" w:line="240" w:lineRule="auto"/>
        <w:ind w:left="0" w:right="0" w:firstLine="0"/>
        <w:jc w:val="both"/>
        <w:rPr>
          <w:rFonts w:ascii="Calibri" w:hAnsi="Calibri" w:eastAsia="Calibri" w:cs="Calibri"/>
          <w:color w:val="auto"/>
          <w:spacing w:val="0"/>
          <w:position w:val="0"/>
          <w:sz w:val="84"/>
          <w:u w:val="single"/>
          <w:shd w:val="clear" w:fill="auto"/>
        </w:rPr>
      </w:pPr>
    </w:p>
    <w:p>
      <w:pPr>
        <w:spacing w:before="0" w:after="0" w:line="240" w:lineRule="auto"/>
        <w:ind w:left="0" w:right="0" w:firstLine="0"/>
        <w:jc w:val="center"/>
        <w:rPr>
          <w:rFonts w:ascii="Calibri" w:hAnsi="Calibri" w:eastAsia="Calibri" w:cs="Calibri"/>
          <w:color w:val="auto"/>
          <w:spacing w:val="0"/>
          <w:position w:val="0"/>
          <w:sz w:val="52"/>
          <w:shd w:val="clear" w:fill="auto"/>
        </w:rPr>
      </w:pPr>
      <w:r>
        <w:rPr>
          <w:rFonts w:ascii="Calibri" w:hAnsi="Calibri" w:eastAsia="Calibri" w:cs="Calibri"/>
          <w:color w:val="auto"/>
          <w:spacing w:val="0"/>
          <w:position w:val="0"/>
          <w:sz w:val="52"/>
          <w:shd w:val="clear" w:fill="auto"/>
        </w:rPr>
        <w:t>2022</w:t>
      </w:r>
      <w:r>
        <w:rPr>
          <w:rFonts w:ascii="宋体" w:hAnsi="宋体" w:eastAsia="宋体" w:cs="宋体"/>
          <w:color w:val="auto"/>
          <w:spacing w:val="0"/>
          <w:position w:val="0"/>
          <w:sz w:val="52"/>
          <w:shd w:val="clear" w:fill="auto"/>
        </w:rPr>
        <w:t>年海口市盐灶幼儿园</w:t>
      </w:r>
      <w:r>
        <w:rPr>
          <w:rFonts w:hint="eastAsia" w:ascii="宋体" w:hAnsi="宋体" w:cs="宋体"/>
          <w:color w:val="auto"/>
          <w:spacing w:val="0"/>
          <w:position w:val="0"/>
          <w:sz w:val="52"/>
          <w:shd w:val="clear" w:fill="auto"/>
          <w:lang w:eastAsia="zh-CN"/>
        </w:rPr>
        <w:t>单位</w:t>
      </w:r>
      <w:r>
        <w:rPr>
          <w:rFonts w:ascii="宋体" w:hAnsi="宋体" w:eastAsia="宋体" w:cs="宋体"/>
          <w:color w:val="auto"/>
          <w:spacing w:val="0"/>
          <w:position w:val="0"/>
          <w:sz w:val="52"/>
          <w:shd w:val="clear" w:fill="auto"/>
        </w:rPr>
        <w:t>预算</w:t>
      </w:r>
    </w:p>
    <w:p>
      <w:pPr>
        <w:spacing w:before="0" w:after="0" w:line="240" w:lineRule="auto"/>
        <w:ind w:left="0" w:right="0" w:firstLine="1680"/>
        <w:jc w:val="center"/>
        <w:rPr>
          <w:rFonts w:ascii="Calibri" w:hAnsi="Calibri" w:eastAsia="Calibri" w:cs="Calibri"/>
          <w:color w:val="auto"/>
          <w:spacing w:val="0"/>
          <w:position w:val="0"/>
          <w:sz w:val="84"/>
          <w:shd w:val="clear" w:fill="auto"/>
        </w:rPr>
      </w:pPr>
    </w:p>
    <w:p>
      <w:pPr>
        <w:spacing w:before="0" w:after="0" w:line="240" w:lineRule="auto"/>
        <w:ind w:left="0" w:right="0" w:firstLine="1680"/>
        <w:jc w:val="center"/>
        <w:rPr>
          <w:rFonts w:ascii="Calibri" w:hAnsi="Calibri" w:eastAsia="Calibri" w:cs="Calibri"/>
          <w:color w:val="auto"/>
          <w:spacing w:val="0"/>
          <w:position w:val="0"/>
          <w:sz w:val="84"/>
          <w:shd w:val="clear" w:fill="auto"/>
        </w:rPr>
      </w:pPr>
    </w:p>
    <w:p>
      <w:pPr>
        <w:spacing w:before="0" w:after="0" w:line="240" w:lineRule="auto"/>
        <w:ind w:left="0" w:right="0" w:firstLine="1680"/>
        <w:jc w:val="center"/>
        <w:rPr>
          <w:rFonts w:ascii="Calibri" w:hAnsi="Calibri" w:eastAsia="Calibri" w:cs="Calibri"/>
          <w:color w:val="auto"/>
          <w:spacing w:val="0"/>
          <w:position w:val="0"/>
          <w:sz w:val="84"/>
          <w:shd w:val="clear" w:fill="auto"/>
        </w:rPr>
      </w:pPr>
    </w:p>
    <w:p>
      <w:pPr>
        <w:spacing w:before="0" w:after="0" w:line="240" w:lineRule="auto"/>
        <w:ind w:left="0" w:right="0" w:firstLine="1680"/>
        <w:jc w:val="center"/>
        <w:rPr>
          <w:rFonts w:ascii="Calibri" w:hAnsi="Calibri" w:eastAsia="Calibri" w:cs="Calibri"/>
          <w:color w:val="auto"/>
          <w:spacing w:val="0"/>
          <w:position w:val="0"/>
          <w:sz w:val="84"/>
          <w:shd w:val="clear" w:fill="auto"/>
        </w:rPr>
      </w:pPr>
    </w:p>
    <w:p>
      <w:pPr>
        <w:spacing w:before="0" w:after="0" w:line="240" w:lineRule="auto"/>
        <w:ind w:left="0" w:right="0" w:firstLine="1680"/>
        <w:jc w:val="center"/>
        <w:rPr>
          <w:rFonts w:ascii="Calibri" w:hAnsi="Calibri" w:eastAsia="Calibri" w:cs="Calibri"/>
          <w:color w:val="auto"/>
          <w:spacing w:val="0"/>
          <w:position w:val="0"/>
          <w:sz w:val="84"/>
          <w:shd w:val="clear" w:fill="auto"/>
        </w:rPr>
      </w:pPr>
    </w:p>
    <w:p>
      <w:pPr>
        <w:spacing w:before="0" w:after="0" w:line="240" w:lineRule="auto"/>
        <w:ind w:left="0" w:right="0" w:firstLine="0"/>
        <w:jc w:val="both"/>
        <w:rPr>
          <w:rFonts w:ascii="Calibri" w:hAnsi="Calibri" w:eastAsia="Calibri" w:cs="Calibri"/>
          <w:color w:val="auto"/>
          <w:spacing w:val="0"/>
          <w:position w:val="0"/>
          <w:sz w:val="84"/>
          <w:shd w:val="clear" w:fill="auto"/>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sz w:val="32"/>
          <w:szCs w:val="32"/>
        </w:rPr>
        <w:t>海口市盐灶幼儿园概况</w:t>
      </w:r>
    </w:p>
    <w:p>
      <w:pPr>
        <w:pStyle w:val="4"/>
        <w:numPr>
          <w:ilvl w:val="0"/>
          <w:numId w:val="2"/>
        </w:numPr>
        <w:ind w:left="0" w:firstLine="0" w:firstLineChars="0"/>
        <w:jc w:val="left"/>
        <w:rPr>
          <w:rFonts w:hint="eastAsia" w:ascii="黑体" w:hAnsi="黑体" w:eastAsia="黑体"/>
          <w:sz w:val="32"/>
          <w:szCs w:val="32"/>
        </w:rPr>
      </w:pPr>
      <w:r>
        <w:rPr>
          <w:rFonts w:hint="eastAsia" w:ascii="黑体" w:hAnsi="黑体" w:eastAsia="黑体"/>
          <w:sz w:val="32"/>
          <w:szCs w:val="32"/>
        </w:rPr>
        <w:t>主要职能</w:t>
      </w:r>
    </w:p>
    <w:p>
      <w:pPr>
        <w:pStyle w:val="5"/>
        <w:numPr>
          <w:ilvl w:val="0"/>
          <w:numId w:val="0"/>
        </w:numPr>
        <w:jc w:val="left"/>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lang w:eastAsia="zh-CN"/>
        </w:rPr>
        <w:t>机构设置</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ascii="黑体" w:hAnsi="黑体" w:eastAsia="黑体"/>
          <w:b/>
          <w:sz w:val="32"/>
          <w:szCs w:val="32"/>
        </w:rPr>
        <w:t xml:space="preserve"> </w:t>
      </w:r>
      <w:r>
        <w:rPr>
          <w:rFonts w:hint="eastAsia" w:ascii="黑体" w:hAnsi="黑体" w:eastAsia="黑体"/>
          <w:sz w:val="32"/>
          <w:szCs w:val="32"/>
        </w:rPr>
        <w:t>海口市盐灶幼儿园2022年单位预算表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海口市盐灶幼儿园2022年单位预算情况说明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widowControl w:val="0"/>
        <w:numPr>
          <w:ilvl w:val="0"/>
          <w:numId w:val="0"/>
        </w:numPr>
        <w:jc w:val="left"/>
        <w:rPr>
          <w:rFonts w:hint="eastAsia" w:ascii="黑体" w:hAnsi="黑体" w:eastAsia="黑体"/>
          <w:sz w:val="32"/>
          <w:szCs w:val="32"/>
        </w:rPr>
      </w:pPr>
    </w:p>
    <w:p>
      <w:pPr>
        <w:spacing w:before="0" w:after="0" w:line="240" w:lineRule="auto"/>
        <w:ind w:left="0" w:right="0" w:firstLine="0"/>
        <w:jc w:val="both"/>
        <w:rPr>
          <w:rFonts w:ascii="Calibri" w:hAnsi="Calibri" w:eastAsia="Calibri" w:cs="Calibri"/>
          <w:color w:val="auto"/>
          <w:spacing w:val="0"/>
          <w:position w:val="0"/>
          <w:sz w:val="84"/>
          <w:shd w:val="clear" w:fill="auto"/>
        </w:rPr>
      </w:pPr>
    </w:p>
    <w:p>
      <w:pPr>
        <w:spacing w:before="0" w:after="0" w:line="240" w:lineRule="auto"/>
        <w:ind w:left="0" w:right="0" w:firstLine="0"/>
        <w:jc w:val="both"/>
        <w:rPr>
          <w:rFonts w:ascii="Calibri" w:hAnsi="Calibri" w:eastAsia="Calibri" w:cs="Calibri"/>
          <w:color w:val="auto"/>
          <w:spacing w:val="0"/>
          <w:position w:val="0"/>
          <w:sz w:val="84"/>
          <w:shd w:val="clear" w:fill="auto"/>
        </w:rPr>
      </w:pPr>
    </w:p>
    <w:p>
      <w:pPr>
        <w:spacing w:before="0" w:after="0" w:line="240" w:lineRule="auto"/>
        <w:ind w:left="0" w:right="0" w:firstLine="0"/>
        <w:jc w:val="left"/>
        <w:rPr>
          <w:rFonts w:ascii="黑体" w:hAnsi="黑体" w:eastAsia="黑体" w:cs="黑体"/>
          <w:color w:val="auto"/>
          <w:spacing w:val="0"/>
          <w:position w:val="0"/>
          <w:sz w:val="32"/>
          <w:shd w:val="clear" w:fill="auto"/>
        </w:rPr>
      </w:pPr>
    </w:p>
    <w:p>
      <w:pPr>
        <w:spacing w:before="0" w:after="0" w:line="240" w:lineRule="auto"/>
        <w:ind w:left="0" w:right="0" w:firstLine="0"/>
        <w:jc w:val="left"/>
        <w:rPr>
          <w:rFonts w:ascii="黑体" w:hAnsi="黑体" w:eastAsia="黑体" w:cs="黑体"/>
          <w:color w:val="auto"/>
          <w:spacing w:val="0"/>
          <w:position w:val="0"/>
          <w:sz w:val="32"/>
          <w:shd w:val="clear" w:fill="auto"/>
        </w:rPr>
      </w:pPr>
    </w:p>
    <w:p>
      <w:pPr>
        <w:numPr>
          <w:ilvl w:val="0"/>
          <w:numId w:val="0"/>
        </w:numPr>
        <w:spacing w:before="0" w:after="0" w:line="240" w:lineRule="auto"/>
        <w:ind w:leftChars="0" w:right="0" w:rightChars="0"/>
        <w:jc w:val="center"/>
        <w:rPr>
          <w:rFonts w:ascii="仿宋_GB2312" w:hAnsi="仿宋_GB2312" w:eastAsia="仿宋_GB2312" w:cs="仿宋_GB2312"/>
          <w:color w:val="auto"/>
          <w:spacing w:val="0"/>
          <w:position w:val="0"/>
          <w:sz w:val="32"/>
          <w:shd w:val="clear" w:fill="auto"/>
        </w:rPr>
      </w:pPr>
      <w:r>
        <w:rPr>
          <w:rFonts w:hint="eastAsia" w:ascii="黑体" w:hAnsi="黑体" w:eastAsia="黑体" w:cs="黑体"/>
          <w:color w:val="auto"/>
          <w:spacing w:val="0"/>
          <w:position w:val="0"/>
          <w:sz w:val="32"/>
          <w:shd w:val="clear" w:fill="auto"/>
          <w:lang w:eastAsia="zh-CN"/>
        </w:rPr>
        <w:t>第一</w:t>
      </w:r>
      <w:r>
        <w:rPr>
          <w:rFonts w:ascii="黑体" w:hAnsi="黑体" w:eastAsia="黑体" w:cs="黑体"/>
          <w:color w:val="auto"/>
          <w:spacing w:val="0"/>
          <w:position w:val="0"/>
          <w:sz w:val="32"/>
          <w:shd w:val="clear" w:fill="auto"/>
        </w:rPr>
        <w:t>部分</w:t>
      </w:r>
      <w:r>
        <w:rPr>
          <w:rFonts w:hint="eastAsia" w:ascii="黑体" w:hAnsi="黑体" w:eastAsia="黑体" w:cs="黑体"/>
          <w:color w:val="auto"/>
          <w:spacing w:val="0"/>
          <w:position w:val="0"/>
          <w:sz w:val="32"/>
          <w:shd w:val="clear" w:fill="auto"/>
          <w:lang w:val="en-US" w:eastAsia="zh-CN"/>
        </w:rPr>
        <w:t xml:space="preserve">  </w:t>
      </w:r>
      <w:r>
        <w:rPr>
          <w:rFonts w:hint="eastAsia" w:ascii="黑体" w:hAnsi="黑体" w:eastAsia="黑体"/>
          <w:sz w:val="32"/>
          <w:szCs w:val="32"/>
        </w:rPr>
        <w:t>海口市盐灶幼儿园概况</w:t>
      </w:r>
    </w:p>
    <w:p>
      <w:pPr>
        <w:spacing w:before="0" w:after="0" w:line="240" w:lineRule="auto"/>
        <w:ind w:left="0" w:right="0" w:firstLine="0"/>
        <w:jc w:val="left"/>
        <w:rPr>
          <w:rFonts w:ascii="仿宋_GB2312" w:hAnsi="仿宋_GB2312" w:eastAsia="仿宋_GB2312" w:cs="仿宋_GB2312"/>
          <w:color w:val="auto"/>
          <w:spacing w:val="0"/>
          <w:position w:val="0"/>
          <w:sz w:val="32"/>
          <w:shd w:val="clear" w:fill="auto"/>
        </w:rPr>
      </w:pPr>
    </w:p>
    <w:p>
      <w:pPr>
        <w:numPr>
          <w:ilvl w:val="0"/>
          <w:numId w:val="0"/>
        </w:numPr>
        <w:spacing w:before="0" w:after="0" w:line="240" w:lineRule="auto"/>
        <w:ind w:leftChars="0" w:right="0" w:rightChars="0"/>
        <w:jc w:val="left"/>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eastAsia="zh-CN"/>
        </w:rPr>
        <w:t>一、</w:t>
      </w:r>
      <w:r>
        <w:rPr>
          <w:rFonts w:ascii="黑体" w:hAnsi="黑体" w:eastAsia="黑体" w:cs="黑体"/>
          <w:color w:val="auto"/>
          <w:spacing w:val="0"/>
          <w:position w:val="0"/>
          <w:sz w:val="32"/>
          <w:shd w:val="clear" w:fill="auto"/>
        </w:rPr>
        <w:t>主要职能</w:t>
      </w:r>
    </w:p>
    <w:p>
      <w:pPr>
        <w:spacing w:before="0" w:after="0" w:line="240" w:lineRule="auto"/>
        <w:ind w:left="720" w:right="0" w:firstLine="0"/>
        <w:jc w:val="left"/>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贯彻执行党、国家和省市有关教育工作方针政策、法律法规和规章，承担辖区内适龄幼儿的保教工作。</w:t>
      </w:r>
    </w:p>
    <w:p>
      <w:pPr>
        <w:pStyle w:val="5"/>
        <w:ind w:left="0" w:leftChars="0" w:firstLine="0" w:firstLineChars="0"/>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二、机构设置</w:t>
      </w:r>
    </w:p>
    <w:p>
      <w:pPr>
        <w:ind w:firstLine="640" w:firstLineChars="200"/>
        <w:rPr>
          <w:rFonts w:hint="eastAsia" w:ascii="仿宋_GB2312" w:hAnsi="黑体" w:eastAsia="仿宋_GB2312" w:cs="仿宋_GB2312"/>
          <w:color w:val="000000" w:themeColor="text1"/>
          <w:kern w:val="2"/>
          <w:sz w:val="32"/>
          <w:szCs w:val="32"/>
          <w:lang w:val="en-US" w:eastAsia="zh-CN" w:bidi="ar-SA"/>
        </w:rPr>
      </w:pPr>
      <w:r>
        <w:rPr>
          <w:rFonts w:hint="eastAsia" w:ascii="仿宋_GB2312" w:hAnsi="黑体" w:eastAsia="仿宋_GB2312" w:cs="仿宋_GB2312"/>
          <w:color w:val="000000" w:themeColor="text1"/>
          <w:kern w:val="2"/>
          <w:sz w:val="32"/>
          <w:szCs w:val="32"/>
          <w:lang w:val="en-US" w:eastAsia="zh-CN" w:bidi="ar-SA"/>
        </w:rPr>
        <w:t>纳入海口市盐灶幼儿园2022年度单位决算编制范围的二级预算单位，编制人数4人，实有2人，单位内设机构包括办公室、保健室、财务室、值班室、后勤部等部门。</w:t>
      </w:r>
    </w:p>
    <w:p>
      <w:pPr>
        <w:spacing w:before="0" w:after="0" w:line="240" w:lineRule="auto"/>
        <w:ind w:left="720" w:right="0" w:firstLine="0"/>
        <w:jc w:val="left"/>
        <w:rPr>
          <w:rFonts w:ascii="黑体" w:hAnsi="黑体" w:eastAsia="黑体" w:cs="黑体"/>
          <w:color w:val="auto"/>
          <w:spacing w:val="0"/>
          <w:position w:val="0"/>
          <w:sz w:val="32"/>
          <w:shd w:val="clear" w:fill="auto"/>
        </w:rPr>
      </w:pPr>
    </w:p>
    <w:p>
      <w:pPr>
        <w:spacing w:before="0" w:after="0" w:line="240" w:lineRule="auto"/>
        <w:ind w:right="0" w:firstLine="640" w:firstLineChars="20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第二部分 海口市盐灶幼儿园2022年</w:t>
      </w:r>
      <w:r>
        <w:rPr>
          <w:rFonts w:hint="eastAsia" w:ascii="黑体" w:hAnsi="黑体" w:eastAsia="黑体" w:cs="黑体"/>
          <w:color w:val="auto"/>
          <w:spacing w:val="0"/>
          <w:position w:val="0"/>
          <w:sz w:val="32"/>
          <w:shd w:val="clear" w:fill="auto"/>
          <w:lang w:eastAsia="zh-CN"/>
        </w:rPr>
        <w:t>单位</w:t>
      </w:r>
      <w:r>
        <w:rPr>
          <w:rFonts w:ascii="黑体" w:hAnsi="黑体" w:eastAsia="黑体" w:cs="黑体"/>
          <w:color w:val="auto"/>
          <w:spacing w:val="0"/>
          <w:position w:val="0"/>
          <w:sz w:val="32"/>
          <w:shd w:val="clear" w:fill="auto"/>
        </w:rPr>
        <w:t>预算表</w:t>
      </w:r>
    </w:p>
    <w:p>
      <w:pPr>
        <w:spacing w:before="0" w:after="0" w:line="240" w:lineRule="auto"/>
        <w:ind w:left="800" w:right="0" w:firstLine="0"/>
        <w:jc w:val="left"/>
        <w:rPr>
          <w:rFonts w:ascii="黑体" w:hAnsi="黑体" w:eastAsia="黑体" w:cs="黑体"/>
          <w:color w:val="auto"/>
          <w:spacing w:val="0"/>
          <w:position w:val="0"/>
          <w:sz w:val="32"/>
          <w:shd w:val="clear" w:fill="auto"/>
        </w:rPr>
      </w:pPr>
    </w:p>
    <w:p>
      <w:pPr>
        <w:spacing w:before="0" w:after="0" w:line="240" w:lineRule="auto"/>
        <w:ind w:left="800" w:right="0" w:firstLine="0"/>
        <w:jc w:val="both"/>
        <w:rPr>
          <w:rFonts w:ascii="仿宋_GB2312" w:hAnsi="仿宋_GB2312" w:eastAsia="仿宋_GB2312" w:cs="仿宋_GB2312"/>
          <w:b/>
          <w:color w:val="auto"/>
          <w:spacing w:val="0"/>
          <w:position w:val="0"/>
          <w:sz w:val="32"/>
          <w:shd w:val="clear" w:fill="auto"/>
        </w:rPr>
      </w:pPr>
      <w:r>
        <w:rPr>
          <w:rFonts w:ascii="宋体" w:hAnsi="宋体" w:eastAsia="宋体" w:cs="宋体"/>
          <w:b/>
          <w:color w:val="auto"/>
          <w:spacing w:val="0"/>
          <w:position w:val="0"/>
          <w:sz w:val="32"/>
          <w:shd w:val="clear" w:fill="auto"/>
        </w:rPr>
        <w:t>（此部分内容即为单位预算公开表）</w:t>
      </w:r>
    </w:p>
    <w:p>
      <w:pPr>
        <w:spacing w:before="0" w:after="0" w:line="240" w:lineRule="auto"/>
        <w:ind w:left="0" w:right="0" w:firstLine="0"/>
        <w:jc w:val="both"/>
        <w:rPr>
          <w:rFonts w:ascii="黑体" w:hAnsi="黑体" w:eastAsia="黑体" w:cs="黑体"/>
          <w:color w:val="auto"/>
          <w:spacing w:val="0"/>
          <w:position w:val="0"/>
          <w:sz w:val="32"/>
          <w:shd w:val="clear" w:fill="auto"/>
        </w:rPr>
      </w:pPr>
    </w:p>
    <w:p>
      <w:pPr>
        <w:spacing w:before="0" w:after="0" w:line="240" w:lineRule="auto"/>
        <w:ind w:left="0" w:right="0" w:firstLine="48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第三部分   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auto"/>
        </w:rPr>
        <w:t>年</w:t>
      </w:r>
      <w:r>
        <w:rPr>
          <w:rFonts w:hint="eastAsia" w:ascii="黑体" w:hAnsi="黑体" w:eastAsia="黑体" w:cs="黑体"/>
          <w:color w:val="auto"/>
          <w:spacing w:val="0"/>
          <w:position w:val="0"/>
          <w:sz w:val="32"/>
          <w:shd w:val="clear" w:fill="auto"/>
          <w:lang w:eastAsia="zh-CN"/>
        </w:rPr>
        <w:t>单位</w:t>
      </w:r>
      <w:r>
        <w:rPr>
          <w:rFonts w:ascii="黑体" w:hAnsi="黑体" w:eastAsia="黑体" w:cs="黑体"/>
          <w:color w:val="auto"/>
          <w:spacing w:val="0"/>
          <w:position w:val="0"/>
          <w:sz w:val="32"/>
          <w:shd w:val="clear" w:fill="auto"/>
        </w:rPr>
        <w:t>预算情况说明</w:t>
      </w:r>
    </w:p>
    <w:p>
      <w:pPr>
        <w:spacing w:before="0" w:after="0" w:line="240" w:lineRule="auto"/>
        <w:ind w:left="0" w:right="0" w:firstLine="0"/>
        <w:jc w:val="center"/>
        <w:rPr>
          <w:rFonts w:ascii="黑体" w:hAnsi="黑体" w:eastAsia="黑体" w:cs="黑体"/>
          <w:color w:val="auto"/>
          <w:spacing w:val="0"/>
          <w:position w:val="0"/>
          <w:sz w:val="32"/>
          <w:shd w:val="clear" w:fill="auto"/>
        </w:rPr>
      </w:pPr>
    </w:p>
    <w:p>
      <w:pPr>
        <w:spacing w:before="0" w:after="0" w:line="240" w:lineRule="auto"/>
        <w:ind w:left="0" w:right="0" w:firstLine="640"/>
        <w:jc w:val="left"/>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一、关于海口市盐灶幼儿园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auto"/>
        </w:rPr>
        <w:t>年财政拨款收支预算情况的总体说明</w:t>
      </w:r>
    </w:p>
    <w:p>
      <w:pPr>
        <w:spacing w:before="0" w:after="0" w:line="240" w:lineRule="auto"/>
        <w:ind w:left="0" w:right="0" w:firstLine="64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年财政拨款收支总预算</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万元。其中，收入总计</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万元，包括一般公共预算本年收入</w:t>
      </w:r>
      <w:r>
        <w:rPr>
          <w:rFonts w:ascii="仿宋_GB2312" w:hAnsi="仿宋_GB2312" w:eastAsia="仿宋_GB2312" w:cs="仿宋_GB2312"/>
          <w:color w:val="auto"/>
          <w:spacing w:val="0"/>
          <w:position w:val="0"/>
          <w:sz w:val="32"/>
          <w:shd w:val="clear" w:fill="auto"/>
        </w:rPr>
        <w:t>915.11</w:t>
      </w:r>
      <w:r>
        <w:rPr>
          <w:rFonts w:ascii="宋体" w:hAnsi="宋体" w:eastAsia="宋体" w:cs="宋体"/>
          <w:color w:val="auto"/>
          <w:spacing w:val="0"/>
          <w:position w:val="0"/>
          <w:sz w:val="32"/>
          <w:shd w:val="clear" w:fill="auto"/>
        </w:rPr>
        <w:t>万元、上年结转</w:t>
      </w:r>
      <w:r>
        <w:rPr>
          <w:rFonts w:ascii="仿宋_GB2312" w:hAnsi="仿宋_GB2312" w:eastAsia="仿宋_GB2312" w:cs="仿宋_GB2312"/>
          <w:color w:val="auto"/>
          <w:spacing w:val="0"/>
          <w:position w:val="0"/>
          <w:sz w:val="32"/>
          <w:shd w:val="clear" w:fill="auto"/>
        </w:rPr>
        <w:t>0.50</w:t>
      </w:r>
      <w:r>
        <w:rPr>
          <w:rFonts w:ascii="宋体" w:hAnsi="宋体" w:eastAsia="宋体" w:cs="宋体"/>
          <w:color w:val="auto"/>
          <w:spacing w:val="0"/>
          <w:position w:val="0"/>
          <w:sz w:val="32"/>
          <w:shd w:val="clear" w:fill="auto"/>
        </w:rPr>
        <w:t>万元；支出总计</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万元，包括教育支出</w:t>
      </w:r>
      <w:r>
        <w:rPr>
          <w:rFonts w:ascii="仿宋_GB2312" w:hAnsi="仿宋_GB2312" w:eastAsia="仿宋_GB2312" w:cs="仿宋_GB2312"/>
          <w:color w:val="auto"/>
          <w:spacing w:val="0"/>
          <w:position w:val="0"/>
          <w:sz w:val="32"/>
          <w:shd w:val="clear" w:fill="auto"/>
        </w:rPr>
        <w:t>907.1</w:t>
      </w:r>
      <w:r>
        <w:rPr>
          <w:rFonts w:ascii="宋体" w:hAnsi="宋体" w:eastAsia="宋体" w:cs="宋体"/>
          <w:color w:val="auto"/>
          <w:spacing w:val="0"/>
          <w:position w:val="0"/>
          <w:sz w:val="32"/>
          <w:shd w:val="clear" w:fill="auto"/>
        </w:rPr>
        <w:t>万元、社会保障和就业支出</w:t>
      </w:r>
      <w:r>
        <w:rPr>
          <w:rFonts w:ascii="仿宋_GB2312" w:hAnsi="仿宋_GB2312" w:eastAsia="仿宋_GB2312" w:cs="仿宋_GB2312"/>
          <w:color w:val="auto"/>
          <w:spacing w:val="0"/>
          <w:position w:val="0"/>
          <w:sz w:val="32"/>
          <w:shd w:val="clear" w:fill="auto"/>
        </w:rPr>
        <w:t>2.9</w:t>
      </w:r>
      <w:r>
        <w:rPr>
          <w:rFonts w:ascii="宋体" w:hAnsi="宋体" w:eastAsia="宋体" w:cs="宋体"/>
          <w:color w:val="auto"/>
          <w:spacing w:val="0"/>
          <w:position w:val="0"/>
          <w:sz w:val="32"/>
          <w:shd w:val="clear" w:fill="auto"/>
        </w:rPr>
        <w:t>万元、卫生健康支出</w:t>
      </w:r>
      <w:r>
        <w:rPr>
          <w:rFonts w:ascii="仿宋_GB2312" w:hAnsi="仿宋_GB2312" w:eastAsia="仿宋_GB2312" w:cs="仿宋_GB2312"/>
          <w:color w:val="auto"/>
          <w:spacing w:val="0"/>
          <w:position w:val="0"/>
          <w:sz w:val="32"/>
          <w:shd w:val="clear" w:fill="auto"/>
        </w:rPr>
        <w:t>3.52</w:t>
      </w:r>
      <w:r>
        <w:rPr>
          <w:rFonts w:ascii="宋体" w:hAnsi="宋体" w:eastAsia="宋体" w:cs="宋体"/>
          <w:color w:val="auto"/>
          <w:spacing w:val="0"/>
          <w:position w:val="0"/>
          <w:sz w:val="32"/>
          <w:shd w:val="clear" w:fill="auto"/>
        </w:rPr>
        <w:t>万元、住房保障支出</w:t>
      </w:r>
      <w:r>
        <w:rPr>
          <w:rFonts w:ascii="仿宋_GB2312" w:hAnsi="仿宋_GB2312" w:eastAsia="仿宋_GB2312" w:cs="仿宋_GB2312"/>
          <w:color w:val="auto"/>
          <w:spacing w:val="0"/>
          <w:position w:val="0"/>
          <w:sz w:val="32"/>
          <w:shd w:val="clear" w:fill="auto"/>
        </w:rPr>
        <w:t>2.1</w:t>
      </w:r>
      <w:r>
        <w:rPr>
          <w:rFonts w:ascii="宋体" w:hAnsi="宋体" w:eastAsia="宋体" w:cs="宋体"/>
          <w:color w:val="auto"/>
          <w:spacing w:val="0"/>
          <w:position w:val="0"/>
          <w:sz w:val="32"/>
          <w:shd w:val="clear" w:fill="auto"/>
        </w:rPr>
        <w:t>万元，结转下年</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w:t>
      </w:r>
    </w:p>
    <w:p>
      <w:pPr>
        <w:spacing w:before="0" w:after="0" w:line="240" w:lineRule="auto"/>
        <w:ind w:left="0" w:right="0" w:firstLine="640"/>
        <w:jc w:val="left"/>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二、关于海口市盐灶幼儿园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auto"/>
        </w:rPr>
        <w:t>年一般公共预算当年拨款情况说明</w:t>
      </w:r>
    </w:p>
    <w:p>
      <w:pPr>
        <w:spacing w:before="0" w:after="0" w:line="240" w:lineRule="auto"/>
        <w:ind w:left="0" w:right="0" w:firstLine="64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（一）一般公共预算当年规模变化情况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年一般公共预算当年拨款</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万元，比上年预算数减少</w:t>
      </w:r>
      <w:r>
        <w:rPr>
          <w:rFonts w:ascii="仿宋_GB2312" w:hAnsi="仿宋_GB2312" w:eastAsia="仿宋_GB2312" w:cs="仿宋_GB2312"/>
          <w:color w:val="auto"/>
          <w:spacing w:val="0"/>
          <w:position w:val="0"/>
          <w:sz w:val="32"/>
          <w:shd w:val="clear" w:fill="auto"/>
        </w:rPr>
        <w:t>101.22</w:t>
      </w:r>
      <w:r>
        <w:rPr>
          <w:rFonts w:ascii="宋体" w:hAnsi="宋体" w:eastAsia="宋体" w:cs="宋体"/>
          <w:color w:val="auto"/>
          <w:spacing w:val="0"/>
          <w:position w:val="0"/>
          <w:sz w:val="32"/>
          <w:shd w:val="clear" w:fill="auto"/>
        </w:rPr>
        <w:t>万元，主要是本年度设备项目减少。</w:t>
      </w:r>
    </w:p>
    <w:p>
      <w:pPr>
        <w:spacing w:before="0" w:after="0" w:line="240" w:lineRule="auto"/>
        <w:ind w:left="0" w:right="0" w:firstLine="64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（二）一般公共预算当年拨款结构情况</w:t>
      </w:r>
    </w:p>
    <w:p>
      <w:pPr>
        <w:spacing w:before="0" w:after="0" w:line="240" w:lineRule="auto"/>
        <w:ind w:left="0" w:right="0" w:firstLine="80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教育（类）支出</w:t>
      </w:r>
      <w:r>
        <w:rPr>
          <w:rFonts w:ascii="仿宋_GB2312" w:hAnsi="仿宋_GB2312" w:eastAsia="仿宋_GB2312" w:cs="仿宋_GB2312"/>
          <w:color w:val="auto"/>
          <w:spacing w:val="0"/>
          <w:position w:val="0"/>
          <w:sz w:val="32"/>
          <w:shd w:val="clear" w:fill="auto"/>
        </w:rPr>
        <w:t>907.1</w:t>
      </w:r>
      <w:r>
        <w:rPr>
          <w:rFonts w:ascii="宋体" w:hAnsi="宋体" w:eastAsia="宋体" w:cs="宋体"/>
          <w:color w:val="auto"/>
          <w:spacing w:val="0"/>
          <w:position w:val="0"/>
          <w:sz w:val="32"/>
          <w:shd w:val="clear" w:fill="auto"/>
        </w:rPr>
        <w:t>万元，占</w:t>
      </w:r>
      <w:r>
        <w:rPr>
          <w:rFonts w:ascii="仿宋_GB2312" w:hAnsi="仿宋_GB2312" w:eastAsia="仿宋_GB2312" w:cs="仿宋_GB2312"/>
          <w:color w:val="auto"/>
          <w:spacing w:val="0"/>
          <w:position w:val="0"/>
          <w:sz w:val="32"/>
          <w:shd w:val="clear" w:fill="auto"/>
        </w:rPr>
        <w:t>98%</w:t>
      </w:r>
      <w:r>
        <w:rPr>
          <w:rFonts w:ascii="宋体" w:hAnsi="宋体" w:eastAsia="宋体" w:cs="宋体"/>
          <w:color w:val="auto"/>
          <w:spacing w:val="0"/>
          <w:position w:val="0"/>
          <w:sz w:val="32"/>
          <w:shd w:val="clear" w:fill="auto"/>
        </w:rPr>
        <w:t>；社会保障和就业支出</w:t>
      </w:r>
      <w:r>
        <w:rPr>
          <w:rFonts w:ascii="仿宋_GB2312" w:hAnsi="仿宋_GB2312" w:eastAsia="仿宋_GB2312" w:cs="仿宋_GB2312"/>
          <w:color w:val="auto"/>
          <w:spacing w:val="0"/>
          <w:position w:val="0"/>
          <w:sz w:val="32"/>
          <w:shd w:val="clear" w:fill="auto"/>
        </w:rPr>
        <w:t>2.9</w:t>
      </w:r>
      <w:r>
        <w:rPr>
          <w:rFonts w:ascii="宋体" w:hAnsi="宋体" w:eastAsia="宋体" w:cs="宋体"/>
          <w:color w:val="auto"/>
          <w:spacing w:val="0"/>
          <w:position w:val="0"/>
          <w:sz w:val="32"/>
          <w:shd w:val="clear" w:fill="auto"/>
        </w:rPr>
        <w:t>万元，占</w:t>
      </w:r>
      <w:r>
        <w:rPr>
          <w:rFonts w:hint="eastAsia" w:ascii="仿宋_GB2312" w:hAnsi="仿宋_GB2312" w:eastAsia="仿宋_GB2312" w:cs="仿宋_GB2312"/>
          <w:color w:val="auto"/>
          <w:spacing w:val="0"/>
          <w:position w:val="0"/>
          <w:sz w:val="32"/>
          <w:shd w:val="clear" w:fill="auto"/>
          <w:lang w:val="en-US" w:eastAsia="zh-CN"/>
        </w:rPr>
        <w:t>1.2</w:t>
      </w:r>
      <w:r>
        <w:rPr>
          <w:rFonts w:ascii="仿宋_GB2312" w:hAnsi="仿宋_GB2312" w:eastAsia="仿宋_GB2312" w:cs="仿宋_GB2312"/>
          <w:color w:val="auto"/>
          <w:spacing w:val="0"/>
          <w:position w:val="0"/>
          <w:sz w:val="32"/>
          <w:shd w:val="clear" w:fill="auto"/>
        </w:rPr>
        <w:t>%</w:t>
      </w:r>
      <w:r>
        <w:rPr>
          <w:rFonts w:ascii="宋体" w:hAnsi="宋体" w:eastAsia="宋体" w:cs="宋体"/>
          <w:color w:val="auto"/>
          <w:spacing w:val="0"/>
          <w:position w:val="0"/>
          <w:sz w:val="32"/>
          <w:shd w:val="clear" w:fill="auto"/>
        </w:rPr>
        <w:t>；卫生健康支出</w:t>
      </w:r>
      <w:r>
        <w:rPr>
          <w:rFonts w:ascii="仿宋_GB2312" w:hAnsi="仿宋_GB2312" w:eastAsia="仿宋_GB2312" w:cs="仿宋_GB2312"/>
          <w:color w:val="auto"/>
          <w:spacing w:val="0"/>
          <w:position w:val="0"/>
          <w:sz w:val="32"/>
          <w:shd w:val="clear" w:fill="auto"/>
        </w:rPr>
        <w:t>3.52</w:t>
      </w:r>
      <w:r>
        <w:rPr>
          <w:rFonts w:ascii="宋体" w:hAnsi="宋体" w:eastAsia="宋体" w:cs="宋体"/>
          <w:color w:val="auto"/>
          <w:spacing w:val="0"/>
          <w:position w:val="0"/>
          <w:sz w:val="32"/>
          <w:shd w:val="clear" w:fill="auto"/>
        </w:rPr>
        <w:t>万元，住房保障支出</w:t>
      </w:r>
      <w:r>
        <w:rPr>
          <w:rFonts w:ascii="仿宋_GB2312" w:hAnsi="仿宋_GB2312" w:eastAsia="仿宋_GB2312" w:cs="仿宋_GB2312"/>
          <w:color w:val="auto"/>
          <w:spacing w:val="0"/>
          <w:position w:val="0"/>
          <w:sz w:val="32"/>
          <w:shd w:val="clear" w:fill="auto"/>
        </w:rPr>
        <w:t>2.1</w:t>
      </w:r>
      <w:r>
        <w:rPr>
          <w:rFonts w:ascii="宋体" w:hAnsi="宋体" w:eastAsia="宋体" w:cs="宋体"/>
          <w:color w:val="auto"/>
          <w:spacing w:val="0"/>
          <w:position w:val="0"/>
          <w:sz w:val="32"/>
          <w:shd w:val="clear" w:fill="auto"/>
        </w:rPr>
        <w:t>万元，占</w:t>
      </w:r>
      <w:r>
        <w:rPr>
          <w:rFonts w:ascii="仿宋_GB2312" w:hAnsi="仿宋_GB2312" w:eastAsia="仿宋_GB2312" w:cs="仿宋_GB2312"/>
          <w:color w:val="auto"/>
          <w:spacing w:val="0"/>
          <w:position w:val="0"/>
          <w:sz w:val="32"/>
          <w:shd w:val="clear" w:fill="auto"/>
        </w:rPr>
        <w:t>0.</w:t>
      </w:r>
      <w:r>
        <w:rPr>
          <w:rFonts w:hint="eastAsia" w:ascii="仿宋_GB2312" w:hAnsi="仿宋_GB2312" w:eastAsia="仿宋_GB2312" w:cs="仿宋_GB2312"/>
          <w:color w:val="auto"/>
          <w:spacing w:val="0"/>
          <w:position w:val="0"/>
          <w:sz w:val="32"/>
          <w:shd w:val="clear" w:fill="auto"/>
          <w:lang w:val="en-US" w:eastAsia="zh-CN"/>
        </w:rPr>
        <w:t>8</w:t>
      </w:r>
      <w:r>
        <w:rPr>
          <w:rFonts w:ascii="仿宋_GB2312" w:hAnsi="仿宋_GB2312" w:eastAsia="仿宋_GB2312" w:cs="仿宋_GB2312"/>
          <w:color w:val="auto"/>
          <w:spacing w:val="0"/>
          <w:position w:val="0"/>
          <w:sz w:val="32"/>
          <w:shd w:val="clear" w:fill="auto"/>
        </w:rPr>
        <w:t>%</w:t>
      </w:r>
      <w:r>
        <w:rPr>
          <w:rFonts w:ascii="宋体" w:hAnsi="宋体" w:eastAsia="宋体" w:cs="宋体"/>
          <w:color w:val="auto"/>
          <w:spacing w:val="0"/>
          <w:position w:val="0"/>
          <w:sz w:val="32"/>
          <w:shd w:val="clear" w:fill="auto"/>
        </w:rPr>
        <w:t>。</w:t>
      </w:r>
    </w:p>
    <w:p>
      <w:pPr>
        <w:spacing w:before="0" w:after="0" w:line="240" w:lineRule="auto"/>
        <w:ind w:left="0" w:right="0" w:firstLine="64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（三）一般公共预算当年拨款具体使用情况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1.</w:t>
      </w:r>
      <w:r>
        <w:rPr>
          <w:rFonts w:ascii="宋体" w:hAnsi="宋体" w:eastAsia="宋体" w:cs="宋体"/>
          <w:color w:val="auto"/>
          <w:spacing w:val="0"/>
          <w:position w:val="0"/>
          <w:sz w:val="32"/>
          <w:shd w:val="clear" w:fill="auto"/>
        </w:rPr>
        <w:t>教育支出（类）普通教育（款）学前教育（项）</w:t>
      </w:r>
      <w:r>
        <w:rPr>
          <w:rFonts w:ascii="仿宋_GB2312" w:hAnsi="仿宋_GB2312" w:eastAsia="仿宋_GB2312" w:cs="仿宋_GB2312"/>
          <w:color w:val="auto"/>
          <w:spacing w:val="0"/>
          <w:position w:val="0"/>
          <w:sz w:val="32"/>
          <w:shd w:val="clear" w:fill="auto"/>
        </w:rPr>
        <w:t>907.1</w:t>
      </w:r>
      <w:r>
        <w:rPr>
          <w:rFonts w:ascii="宋体" w:hAnsi="宋体" w:eastAsia="宋体" w:cs="宋体"/>
          <w:color w:val="auto"/>
          <w:spacing w:val="0"/>
          <w:position w:val="0"/>
          <w:sz w:val="32"/>
          <w:shd w:val="clear" w:fill="auto"/>
        </w:rPr>
        <w:t>万元，比上年预算数减少</w:t>
      </w:r>
      <w:r>
        <w:rPr>
          <w:rFonts w:ascii="仿宋_GB2312" w:hAnsi="仿宋_GB2312" w:eastAsia="仿宋_GB2312" w:cs="仿宋_GB2312"/>
          <w:color w:val="auto"/>
          <w:spacing w:val="0"/>
          <w:position w:val="0"/>
          <w:sz w:val="32"/>
          <w:shd w:val="clear" w:fill="auto"/>
        </w:rPr>
        <w:t>101.73</w:t>
      </w:r>
      <w:r>
        <w:rPr>
          <w:rFonts w:ascii="宋体" w:hAnsi="宋体" w:eastAsia="宋体" w:cs="宋体"/>
          <w:color w:val="auto"/>
          <w:spacing w:val="0"/>
          <w:position w:val="0"/>
          <w:sz w:val="32"/>
          <w:shd w:val="clear" w:fill="auto"/>
        </w:rPr>
        <w:t>万元，主要是本年度设备项目减少。</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2.</w:t>
      </w:r>
      <w:r>
        <w:rPr>
          <w:rFonts w:ascii="宋体" w:hAnsi="宋体" w:eastAsia="宋体" w:cs="宋体"/>
          <w:color w:val="auto"/>
          <w:spacing w:val="0"/>
          <w:position w:val="0"/>
          <w:sz w:val="32"/>
          <w:shd w:val="clear" w:fill="auto"/>
        </w:rPr>
        <w:t>社会保障和就业支出（类）行政事业单位养老支出（款）机关事业单位基本养老保险缴费支出（项）</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年预算数为</w:t>
      </w:r>
      <w:r>
        <w:rPr>
          <w:rFonts w:ascii="仿宋_GB2312" w:hAnsi="仿宋_GB2312" w:eastAsia="仿宋_GB2312" w:cs="仿宋_GB2312"/>
          <w:color w:val="auto"/>
          <w:spacing w:val="0"/>
          <w:position w:val="0"/>
          <w:sz w:val="32"/>
          <w:shd w:val="clear" w:fill="auto"/>
        </w:rPr>
        <w:t>2.9</w:t>
      </w:r>
      <w:r>
        <w:rPr>
          <w:rFonts w:ascii="宋体" w:hAnsi="宋体" w:eastAsia="宋体" w:cs="宋体"/>
          <w:color w:val="auto"/>
          <w:spacing w:val="0"/>
          <w:position w:val="0"/>
          <w:sz w:val="32"/>
          <w:shd w:val="clear" w:fill="auto"/>
        </w:rPr>
        <w:t>万元；比上年预算数增加</w:t>
      </w:r>
      <w:r>
        <w:rPr>
          <w:rFonts w:ascii="仿宋_GB2312" w:hAnsi="仿宋_GB2312" w:eastAsia="仿宋_GB2312" w:cs="仿宋_GB2312"/>
          <w:color w:val="auto"/>
          <w:spacing w:val="0"/>
          <w:position w:val="0"/>
          <w:sz w:val="32"/>
          <w:shd w:val="clear" w:fill="auto"/>
        </w:rPr>
        <w:t>0.25</w:t>
      </w:r>
      <w:r>
        <w:rPr>
          <w:rFonts w:ascii="宋体" w:hAnsi="宋体" w:eastAsia="宋体" w:cs="宋体"/>
          <w:color w:val="auto"/>
          <w:spacing w:val="0"/>
          <w:position w:val="0"/>
          <w:sz w:val="32"/>
          <w:shd w:val="clear" w:fill="auto"/>
        </w:rPr>
        <w:t>万元，主要是本年度在编人员社保基数增加。</w:t>
      </w:r>
    </w:p>
    <w:p>
      <w:pPr>
        <w:numPr>
          <w:ilvl w:val="0"/>
          <w:numId w:val="0"/>
        </w:numPr>
        <w:tabs>
          <w:tab w:val="left" w:pos="312"/>
        </w:tabs>
        <w:spacing w:before="0" w:after="0" w:line="240" w:lineRule="auto"/>
        <w:ind w:left="640" w:leftChars="0" w:right="0" w:rightChars="0"/>
        <w:jc w:val="both"/>
        <w:rPr>
          <w:rFonts w:ascii="仿宋_GB2312" w:hAnsi="仿宋_GB2312" w:eastAsia="仿宋_GB2312" w:cs="仿宋_GB2312"/>
          <w:color w:val="auto"/>
          <w:spacing w:val="0"/>
          <w:position w:val="0"/>
          <w:sz w:val="32"/>
          <w:shd w:val="clear" w:fill="auto"/>
        </w:rPr>
      </w:pPr>
      <w:r>
        <w:rPr>
          <w:rFonts w:hint="eastAsia" w:ascii="宋体" w:hAnsi="宋体" w:eastAsia="宋体" w:cs="宋体"/>
          <w:color w:val="auto"/>
          <w:spacing w:val="0"/>
          <w:position w:val="0"/>
          <w:sz w:val="32"/>
          <w:shd w:val="clear" w:fill="auto"/>
          <w:lang w:val="en-US" w:eastAsia="zh-CN"/>
        </w:rPr>
        <w:t>3.</w:t>
      </w:r>
      <w:r>
        <w:rPr>
          <w:rFonts w:ascii="宋体" w:hAnsi="宋体" w:eastAsia="宋体" w:cs="宋体"/>
          <w:color w:val="auto"/>
          <w:spacing w:val="0"/>
          <w:position w:val="0"/>
          <w:sz w:val="32"/>
          <w:shd w:val="clear" w:fill="auto"/>
        </w:rPr>
        <w:t>卫生健康支出（类）行政事业单位医疗（款）事业单位医疗（项）</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年预算数为</w:t>
      </w:r>
      <w:r>
        <w:rPr>
          <w:rFonts w:ascii="仿宋_GB2312" w:hAnsi="仿宋_GB2312" w:eastAsia="仿宋_GB2312" w:cs="仿宋_GB2312"/>
          <w:color w:val="auto"/>
          <w:spacing w:val="0"/>
          <w:position w:val="0"/>
          <w:sz w:val="32"/>
          <w:shd w:val="clear" w:fill="auto"/>
        </w:rPr>
        <w:t>3.52</w:t>
      </w:r>
      <w:r>
        <w:rPr>
          <w:rFonts w:ascii="宋体" w:hAnsi="宋体" w:eastAsia="宋体" w:cs="宋体"/>
          <w:color w:val="auto"/>
          <w:spacing w:val="0"/>
          <w:position w:val="0"/>
          <w:sz w:val="32"/>
          <w:shd w:val="clear" w:fill="auto"/>
        </w:rPr>
        <w:t>万元；比上年预算数增加</w:t>
      </w:r>
      <w:r>
        <w:rPr>
          <w:rFonts w:ascii="仿宋_GB2312" w:hAnsi="仿宋_GB2312" w:eastAsia="仿宋_GB2312" w:cs="仿宋_GB2312"/>
          <w:color w:val="auto"/>
          <w:spacing w:val="0"/>
          <w:position w:val="0"/>
          <w:sz w:val="32"/>
          <w:shd w:val="clear" w:fill="auto"/>
        </w:rPr>
        <w:t>0.30</w:t>
      </w:r>
      <w:r>
        <w:rPr>
          <w:rFonts w:ascii="宋体" w:hAnsi="宋体" w:eastAsia="宋体" w:cs="宋体"/>
          <w:color w:val="auto"/>
          <w:spacing w:val="0"/>
          <w:position w:val="0"/>
          <w:sz w:val="32"/>
          <w:shd w:val="clear" w:fill="auto"/>
        </w:rPr>
        <w:t>万元，主要是本年度在编人员社保基数增加。</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4.</w:t>
      </w:r>
      <w:r>
        <w:rPr>
          <w:rFonts w:ascii="宋体" w:hAnsi="宋体" w:eastAsia="宋体" w:cs="宋体"/>
          <w:color w:val="auto"/>
          <w:spacing w:val="0"/>
          <w:position w:val="0"/>
          <w:sz w:val="32"/>
          <w:shd w:val="clear" w:fill="auto"/>
        </w:rPr>
        <w:t>住房保障支出（类）住房改革支出（款）住房公积金（项）</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年预算数为</w:t>
      </w:r>
      <w:r>
        <w:rPr>
          <w:rFonts w:ascii="仿宋_GB2312" w:hAnsi="仿宋_GB2312" w:eastAsia="仿宋_GB2312" w:cs="仿宋_GB2312"/>
          <w:color w:val="auto"/>
          <w:spacing w:val="0"/>
          <w:position w:val="0"/>
          <w:sz w:val="32"/>
          <w:shd w:val="clear" w:fill="auto"/>
        </w:rPr>
        <w:t>2.1</w:t>
      </w:r>
      <w:r>
        <w:rPr>
          <w:rFonts w:ascii="宋体" w:hAnsi="宋体" w:eastAsia="宋体" w:cs="宋体"/>
          <w:color w:val="auto"/>
          <w:spacing w:val="0"/>
          <w:position w:val="0"/>
          <w:sz w:val="32"/>
          <w:shd w:val="clear" w:fill="auto"/>
        </w:rPr>
        <w:t>万元，比上年预算数减少</w:t>
      </w:r>
      <w:r>
        <w:rPr>
          <w:rFonts w:ascii="仿宋_GB2312" w:hAnsi="仿宋_GB2312" w:eastAsia="仿宋_GB2312" w:cs="仿宋_GB2312"/>
          <w:color w:val="auto"/>
          <w:spacing w:val="0"/>
          <w:position w:val="0"/>
          <w:sz w:val="32"/>
          <w:shd w:val="clear" w:fill="auto"/>
        </w:rPr>
        <w:t>0.02</w:t>
      </w:r>
      <w:r>
        <w:rPr>
          <w:rFonts w:ascii="宋体" w:hAnsi="宋体" w:eastAsia="宋体" w:cs="宋体"/>
          <w:color w:val="auto"/>
          <w:spacing w:val="0"/>
          <w:position w:val="0"/>
          <w:sz w:val="32"/>
          <w:shd w:val="clear" w:fill="auto"/>
        </w:rPr>
        <w:t>万元，主要是本年度在编人员住房公积金基数有变动。</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三、关于海口市盐灶幼儿园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auto"/>
        </w:rPr>
        <w:t>年一般公共预算基本支出情况说明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年一般公共预算基本支出为</w:t>
      </w:r>
      <w:r>
        <w:rPr>
          <w:rFonts w:ascii="仿宋_GB2312" w:hAnsi="仿宋_GB2312" w:eastAsia="仿宋_GB2312" w:cs="仿宋_GB2312"/>
          <w:color w:val="auto"/>
          <w:spacing w:val="0"/>
          <w:position w:val="0"/>
          <w:sz w:val="32"/>
          <w:shd w:val="clear" w:fill="auto"/>
        </w:rPr>
        <w:t>35.24</w:t>
      </w:r>
      <w:r>
        <w:rPr>
          <w:rFonts w:ascii="宋体" w:hAnsi="宋体" w:eastAsia="宋体" w:cs="宋体"/>
          <w:color w:val="auto"/>
          <w:spacing w:val="0"/>
          <w:position w:val="0"/>
          <w:sz w:val="32"/>
          <w:shd w:val="clear" w:fill="auto"/>
        </w:rPr>
        <w:t>万元，其中：</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人员经费</w:t>
      </w:r>
      <w:r>
        <w:rPr>
          <w:rFonts w:ascii="仿宋_GB2312" w:hAnsi="仿宋_GB2312" w:eastAsia="仿宋_GB2312" w:cs="仿宋_GB2312"/>
          <w:color w:val="auto"/>
          <w:spacing w:val="0"/>
          <w:position w:val="0"/>
          <w:sz w:val="32"/>
          <w:shd w:val="clear" w:fill="auto"/>
        </w:rPr>
        <w:t>33.63</w:t>
      </w:r>
      <w:r>
        <w:rPr>
          <w:rFonts w:ascii="宋体" w:hAnsi="宋体" w:eastAsia="宋体" w:cs="宋体"/>
          <w:color w:val="auto"/>
          <w:spacing w:val="0"/>
          <w:position w:val="0"/>
          <w:sz w:val="32"/>
          <w:shd w:val="clear" w:fill="auto"/>
        </w:rPr>
        <w:t>万元，主要包括：基本工资、津贴补贴、绩效工资、机关事业单位基本养老保险缴费、职工基本医疗保险缴费、公务员医疗补助缴费、其他社会保障缴费、住房公积金、医疗费、邮电费</w:t>
      </w:r>
      <w:r>
        <w:rPr>
          <w:rFonts w:hint="eastAsia" w:ascii="宋体" w:hAnsi="宋体" w:cs="宋体"/>
          <w:color w:val="auto"/>
          <w:spacing w:val="0"/>
          <w:position w:val="0"/>
          <w:sz w:val="32"/>
          <w:shd w:val="clear" w:fill="auto"/>
          <w:lang w:eastAsia="zh-CN"/>
        </w:rPr>
        <w:t>等</w:t>
      </w:r>
      <w:r>
        <w:rPr>
          <w:rFonts w:ascii="仿宋_GB2312" w:hAnsi="仿宋_GB2312" w:eastAsia="仿宋_GB2312" w:cs="仿宋_GB2312"/>
          <w:color w:val="auto"/>
          <w:spacing w:val="0"/>
          <w:position w:val="0"/>
          <w:sz w:val="32"/>
          <w:shd w:val="clear" w:fill="auto"/>
        </w:rPr>
        <w:t>;</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公用经费</w:t>
      </w:r>
      <w:r>
        <w:rPr>
          <w:rFonts w:ascii="仿宋_GB2312" w:hAnsi="仿宋_GB2312" w:eastAsia="仿宋_GB2312" w:cs="仿宋_GB2312"/>
          <w:color w:val="auto"/>
          <w:spacing w:val="0"/>
          <w:position w:val="0"/>
          <w:sz w:val="32"/>
          <w:shd w:val="clear" w:fill="auto"/>
        </w:rPr>
        <w:t>1.61</w:t>
      </w:r>
      <w:r>
        <w:rPr>
          <w:rFonts w:ascii="宋体" w:hAnsi="宋体" w:eastAsia="宋体" w:cs="宋体"/>
          <w:color w:val="auto"/>
          <w:spacing w:val="0"/>
          <w:position w:val="0"/>
          <w:sz w:val="32"/>
          <w:shd w:val="clear" w:fill="auto"/>
        </w:rPr>
        <w:t>万元，主要包括：其他社会保障缴费、办公费、</w:t>
      </w:r>
      <w:r>
        <w:rPr>
          <w:rFonts w:hint="eastAsia" w:ascii="宋体" w:hAnsi="宋体" w:eastAsia="宋体" w:cs="宋体"/>
          <w:color w:val="auto"/>
          <w:spacing w:val="0"/>
          <w:position w:val="0"/>
          <w:sz w:val="32"/>
          <w:shd w:val="clear" w:fill="auto"/>
        </w:rPr>
        <w:t>差旅费</w:t>
      </w:r>
      <w:r>
        <w:rPr>
          <w:rFonts w:hint="eastAsia" w:ascii="宋体" w:hAnsi="宋体" w:cs="宋体"/>
          <w:color w:val="auto"/>
          <w:spacing w:val="0"/>
          <w:position w:val="0"/>
          <w:sz w:val="32"/>
          <w:shd w:val="clear" w:fill="auto"/>
          <w:lang w:eastAsia="zh-CN"/>
        </w:rPr>
        <w:t>、</w:t>
      </w:r>
      <w:r>
        <w:rPr>
          <w:rFonts w:ascii="宋体" w:hAnsi="宋体" w:eastAsia="宋体" w:cs="宋体"/>
          <w:color w:val="auto"/>
          <w:spacing w:val="0"/>
          <w:position w:val="0"/>
          <w:sz w:val="32"/>
          <w:shd w:val="clear" w:fill="auto"/>
        </w:rPr>
        <w:t>培训费、工会经费</w:t>
      </w:r>
      <w:r>
        <w:rPr>
          <w:rFonts w:hint="eastAsia" w:ascii="宋体" w:hAnsi="宋体" w:cs="宋体"/>
          <w:color w:val="auto"/>
          <w:spacing w:val="0"/>
          <w:position w:val="0"/>
          <w:sz w:val="32"/>
          <w:shd w:val="clear" w:fill="auto"/>
          <w:lang w:eastAsia="zh-CN"/>
        </w:rPr>
        <w:t>、</w:t>
      </w:r>
      <w:r>
        <w:rPr>
          <w:rFonts w:hint="eastAsia" w:ascii="宋体" w:hAnsi="宋体" w:eastAsia="宋体" w:cs="宋体"/>
          <w:color w:val="auto"/>
          <w:spacing w:val="0"/>
          <w:position w:val="0"/>
          <w:sz w:val="32"/>
          <w:shd w:val="clear" w:fill="auto"/>
        </w:rPr>
        <w:t>其他商品和服务支出</w:t>
      </w:r>
      <w:r>
        <w:rPr>
          <w:rFonts w:hint="eastAsia" w:ascii="宋体" w:hAnsi="宋体" w:cs="宋体"/>
          <w:color w:val="auto"/>
          <w:spacing w:val="0"/>
          <w:position w:val="0"/>
          <w:sz w:val="32"/>
          <w:shd w:val="clear" w:fill="auto"/>
          <w:lang w:eastAsia="zh-CN"/>
        </w:rPr>
        <w:t>等</w:t>
      </w:r>
      <w:r>
        <w:rPr>
          <w:rFonts w:ascii="宋体" w:hAnsi="宋体" w:eastAsia="宋体" w:cs="宋体"/>
          <w:color w:val="auto"/>
          <w:spacing w:val="0"/>
          <w:position w:val="0"/>
          <w:sz w:val="32"/>
          <w:shd w:val="clear" w:fill="auto"/>
        </w:rPr>
        <w:t>。</w:t>
      </w:r>
    </w:p>
    <w:p>
      <w:pPr>
        <w:spacing w:before="0" w:after="0" w:line="240" w:lineRule="auto"/>
        <w:ind w:left="0" w:right="0" w:firstLine="640"/>
        <w:jc w:val="both"/>
        <w:rPr>
          <w:rFonts w:ascii="黑体" w:hAnsi="黑体" w:eastAsia="黑体" w:cs="黑体"/>
          <w:color w:val="auto"/>
          <w:spacing w:val="0"/>
          <w:position w:val="0"/>
          <w:sz w:val="32"/>
          <w:shd w:val="clear" w:fill="FFFFFF"/>
        </w:rPr>
      </w:pPr>
      <w:r>
        <w:rPr>
          <w:rFonts w:ascii="黑体" w:hAnsi="黑体" w:eastAsia="黑体" w:cs="黑体"/>
          <w:color w:val="auto"/>
          <w:spacing w:val="0"/>
          <w:position w:val="0"/>
          <w:sz w:val="32"/>
          <w:shd w:val="clear" w:fill="FFFFFF"/>
        </w:rPr>
        <w:t>四、</w:t>
      </w:r>
      <w:r>
        <w:rPr>
          <w:rFonts w:ascii="黑体" w:hAnsi="黑体" w:eastAsia="黑体" w:cs="黑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FFFFFF"/>
        </w:rPr>
        <w:t>年“三公”经费预算情况说明</w:t>
      </w:r>
    </w:p>
    <w:p>
      <w:pPr>
        <w:spacing w:before="0" w:after="0" w:line="240" w:lineRule="auto"/>
        <w:ind w:left="0" w:right="0" w:firstLine="640"/>
        <w:jc w:val="both"/>
        <w:rPr>
          <w:rFonts w:ascii="??_GB2312" w:hAnsi="??_GB2312" w:eastAsia="??_GB2312" w:cs="??_GB2312"/>
          <w:color w:val="auto"/>
          <w:spacing w:val="0"/>
          <w:position w:val="0"/>
          <w:sz w:val="32"/>
          <w:shd w:val="clear" w:fill="auto"/>
        </w:rPr>
      </w:pPr>
      <w:r>
        <w:rPr>
          <w:rFonts w:ascii="宋体" w:hAnsi="宋体" w:eastAsia="宋体" w:cs="宋体"/>
          <w:color w:val="auto"/>
          <w:spacing w:val="0"/>
          <w:position w:val="0"/>
          <w:sz w:val="32"/>
          <w:shd w:val="clear" w:fill="auto"/>
        </w:rPr>
        <w:t>（一）海口市盐灶幼儿园2022年一般公共预算“三公”经费预算数为0万元，</w:t>
      </w:r>
    </w:p>
    <w:p>
      <w:pPr>
        <w:ind w:firstLine="640"/>
        <w:rPr>
          <w:rFonts w:hint="eastAsia" w:ascii="仿宋_GB2312" w:hAnsi="黑体" w:eastAsia="仿宋_GB2312"/>
          <w:sz w:val="32"/>
          <w:szCs w:val="32"/>
          <w:lang w:eastAsia="zh-CN"/>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lang w:val="en-US" w:eastAsia="zh-CN"/>
        </w:rPr>
        <w:t>。</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spacing w:before="0" w:after="0" w:line="240" w:lineRule="auto"/>
        <w:ind w:left="0" w:right="0" w:firstLine="630"/>
        <w:jc w:val="both"/>
        <w:rPr>
          <w:rFonts w:ascii="Times New Roman" w:hAnsi="Times New Roman" w:eastAsia="Times New Roman" w:cs="Times New Roman"/>
          <w:color w:val="auto"/>
          <w:spacing w:val="0"/>
          <w:position w:val="0"/>
          <w:sz w:val="32"/>
          <w:shd w:val="clear" w:fill="FFFFFF"/>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ascii="宋体" w:hAnsi="宋体" w:eastAsia="宋体" w:cs="宋体"/>
          <w:color w:val="auto"/>
          <w:spacing w:val="0"/>
          <w:position w:val="0"/>
          <w:sz w:val="32"/>
          <w:shd w:val="clear" w:fill="FFFFFF"/>
        </w:rPr>
        <w:t>。</w:t>
      </w:r>
    </w:p>
    <w:p>
      <w:pPr>
        <w:spacing w:before="0" w:after="0" w:line="240" w:lineRule="auto"/>
        <w:ind w:left="0" w:right="0" w:firstLine="640" w:firstLineChars="20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（二）海口市盐灶幼儿园2022年政府性基金预算“三公”经费预算数为0万元，</w:t>
      </w:r>
    </w:p>
    <w:p>
      <w:pPr>
        <w:ind w:firstLine="640"/>
        <w:rPr>
          <w:rFonts w:hint="eastAsia" w:ascii="仿宋_GB2312" w:hAnsi="黑体" w:eastAsia="仿宋_GB2312"/>
          <w:sz w:val="32"/>
          <w:szCs w:val="32"/>
          <w:lang w:eastAsia="zh-CN"/>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lang w:val="en-US" w:eastAsia="zh-CN"/>
        </w:rPr>
        <w:t>。</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spacing w:before="0" w:after="0" w:line="240" w:lineRule="auto"/>
        <w:ind w:left="0" w:right="0" w:firstLine="640" w:firstLineChars="200"/>
        <w:jc w:val="both"/>
        <w:rPr>
          <w:rFonts w:ascii="Times New Roman" w:hAnsi="Times New Roman" w:eastAsia="Times New Roman" w:cs="Times New Roman"/>
          <w:color w:val="auto"/>
          <w:spacing w:val="0"/>
          <w:position w:val="0"/>
          <w:sz w:val="32"/>
          <w:shd w:val="clear" w:fill="FFFFFF"/>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ascii="宋体" w:hAnsi="宋体" w:eastAsia="宋体" w:cs="宋体"/>
          <w:color w:val="auto"/>
          <w:spacing w:val="0"/>
          <w:position w:val="0"/>
          <w:sz w:val="32"/>
          <w:shd w:val="clear" w:fill="FFFFFF"/>
        </w:rPr>
        <w:t>。</w:t>
      </w:r>
    </w:p>
    <w:p>
      <w:pPr>
        <w:spacing w:before="0" w:after="0" w:line="240" w:lineRule="auto"/>
        <w:ind w:left="0" w:right="0" w:firstLine="640"/>
        <w:jc w:val="both"/>
        <w:rPr>
          <w:rFonts w:ascii="黑体" w:hAnsi="黑体" w:eastAsia="黑体" w:cs="黑体"/>
          <w:color w:val="auto"/>
          <w:spacing w:val="0"/>
          <w:position w:val="0"/>
          <w:sz w:val="32"/>
          <w:shd w:val="clear" w:fill="FFFFFF"/>
        </w:rPr>
      </w:pPr>
      <w:r>
        <w:rPr>
          <w:rFonts w:ascii="黑体" w:hAnsi="黑体" w:eastAsia="黑体" w:cs="黑体"/>
          <w:color w:val="auto"/>
          <w:spacing w:val="0"/>
          <w:position w:val="0"/>
          <w:sz w:val="32"/>
          <w:shd w:val="clear" w:fill="FFFFFF"/>
        </w:rPr>
        <w:t>五、关于</w:t>
      </w:r>
      <w:r>
        <w:rPr>
          <w:rFonts w:ascii="黑体" w:hAnsi="黑体" w:eastAsia="黑体" w:cs="黑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FFFFFF"/>
        </w:rPr>
        <w:t>年政府性基金预算当年拨款情况说明</w:t>
      </w:r>
    </w:p>
    <w:p>
      <w:pPr>
        <w:spacing w:before="0" w:after="0" w:line="240" w:lineRule="auto"/>
        <w:ind w:left="0" w:right="0" w:firstLine="64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（一）政府性基金预算当年规模变化情况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年政府性基金预算当年拨款</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w:t>
      </w:r>
      <w:r>
        <w:rPr>
          <w:rFonts w:hint="eastAsia" w:ascii="宋体" w:hAnsi="宋体" w:cs="宋体"/>
          <w:color w:val="auto"/>
          <w:spacing w:val="0"/>
          <w:position w:val="0"/>
          <w:sz w:val="32"/>
          <w:shd w:val="clear" w:fill="auto"/>
          <w:lang w:eastAsia="zh-CN"/>
        </w:rPr>
        <w:t>与</w:t>
      </w:r>
      <w:r>
        <w:rPr>
          <w:rFonts w:ascii="宋体" w:hAnsi="宋体" w:eastAsia="宋体" w:cs="宋体"/>
          <w:color w:val="auto"/>
          <w:spacing w:val="0"/>
          <w:position w:val="0"/>
          <w:sz w:val="32"/>
          <w:shd w:val="clear" w:fill="auto"/>
        </w:rPr>
        <w:t>上年预算数持平，</w:t>
      </w:r>
      <w:r>
        <w:rPr>
          <w:rFonts w:hint="eastAsia" w:ascii="宋体" w:hAnsi="宋体" w:cs="宋体"/>
          <w:color w:val="auto"/>
          <w:spacing w:val="0"/>
          <w:position w:val="0"/>
          <w:sz w:val="32"/>
          <w:shd w:val="clear" w:fill="auto"/>
          <w:lang w:eastAsia="zh-CN"/>
        </w:rPr>
        <w:t>主要是</w:t>
      </w:r>
      <w:r>
        <w:rPr>
          <w:rFonts w:hint="eastAsia" w:ascii="宋体" w:hAnsi="宋体" w:cs="宋体"/>
          <w:color w:val="auto"/>
          <w:spacing w:val="0"/>
          <w:position w:val="0"/>
          <w:sz w:val="32"/>
          <w:shd w:val="clear" w:fill="auto"/>
          <w:lang w:val="en-US" w:eastAsia="zh-CN"/>
        </w:rPr>
        <w:t>2022年</w:t>
      </w:r>
      <w:r>
        <w:rPr>
          <w:rFonts w:ascii="宋体" w:hAnsi="宋体" w:eastAsia="宋体" w:cs="宋体"/>
          <w:color w:val="auto"/>
          <w:spacing w:val="0"/>
          <w:position w:val="0"/>
          <w:sz w:val="32"/>
          <w:shd w:val="clear" w:fill="FFFFFF"/>
        </w:rPr>
        <w:t>我单位无政府性基金预算安排</w:t>
      </w:r>
      <w:r>
        <w:rPr>
          <w:rFonts w:ascii="宋体" w:hAnsi="宋体" w:eastAsia="宋体" w:cs="宋体"/>
          <w:color w:val="auto"/>
          <w:spacing w:val="0"/>
          <w:position w:val="0"/>
          <w:sz w:val="32"/>
          <w:shd w:val="clear" w:fill="auto"/>
        </w:rPr>
        <w:t>。</w:t>
      </w:r>
    </w:p>
    <w:p>
      <w:pPr>
        <w:spacing w:before="0" w:after="0" w:line="240" w:lineRule="auto"/>
        <w:ind w:left="0" w:right="0" w:firstLine="64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（二）政府性基金预算当年拨款结构情况</w:t>
      </w:r>
    </w:p>
    <w:p>
      <w:pPr>
        <w:spacing w:before="0" w:after="0" w:line="240" w:lineRule="auto"/>
        <w:ind w:left="0" w:right="0" w:firstLine="640"/>
        <w:jc w:val="both"/>
        <w:rPr>
          <w:rFonts w:ascii="??_GB2312" w:hAnsi="??_GB2312" w:eastAsia="??_GB2312" w:cs="??_GB2312"/>
          <w:color w:val="auto"/>
          <w:spacing w:val="0"/>
          <w:position w:val="0"/>
          <w:sz w:val="32"/>
          <w:shd w:val="clear" w:fill="auto"/>
        </w:rPr>
      </w:pPr>
      <w:r>
        <w:rPr>
          <w:rFonts w:ascii="宋体" w:hAnsi="宋体" w:eastAsia="宋体" w:cs="宋体"/>
          <w:color w:val="auto"/>
          <w:spacing w:val="0"/>
          <w:position w:val="0"/>
          <w:sz w:val="32"/>
          <w:shd w:val="clear" w:fill="FFFFFF"/>
        </w:rPr>
        <w:t>我单位无政府性基金预算安排</w:t>
      </w:r>
      <w:r>
        <w:rPr>
          <w:rFonts w:ascii="宋体" w:hAnsi="宋体" w:eastAsia="宋体" w:cs="宋体"/>
          <w:color w:val="auto"/>
          <w:spacing w:val="0"/>
          <w:position w:val="0"/>
          <w:sz w:val="32"/>
          <w:shd w:val="clear" w:fill="auto"/>
        </w:rPr>
        <w:t>。</w:t>
      </w:r>
    </w:p>
    <w:p>
      <w:pPr>
        <w:spacing w:before="0" w:after="0" w:line="240" w:lineRule="auto"/>
        <w:ind w:left="0" w:right="0" w:firstLine="64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（三）政府性基金预算当年拨款具体使用情况</w:t>
      </w:r>
    </w:p>
    <w:p>
      <w:pPr>
        <w:spacing w:before="0" w:after="0" w:line="240" w:lineRule="auto"/>
        <w:ind w:left="0" w:right="0" w:firstLine="640"/>
        <w:jc w:val="both"/>
        <w:rPr>
          <w:rFonts w:ascii="??_GB2312" w:hAnsi="??_GB2312" w:eastAsia="??_GB2312" w:cs="??_GB2312"/>
          <w:color w:val="auto"/>
          <w:spacing w:val="0"/>
          <w:position w:val="0"/>
          <w:sz w:val="32"/>
          <w:shd w:val="clear" w:fill="auto"/>
        </w:rPr>
      </w:pPr>
      <w:r>
        <w:rPr>
          <w:rFonts w:ascii="宋体" w:hAnsi="宋体" w:eastAsia="宋体" w:cs="宋体"/>
          <w:color w:val="auto"/>
          <w:spacing w:val="0"/>
          <w:position w:val="0"/>
          <w:sz w:val="32"/>
          <w:shd w:val="clear" w:fill="FFFFFF"/>
        </w:rPr>
        <w:t>我单位无政府性基金预算安排</w:t>
      </w:r>
      <w:r>
        <w:rPr>
          <w:rFonts w:ascii="宋体" w:hAnsi="宋体" w:eastAsia="宋体" w:cs="宋体"/>
          <w:color w:val="auto"/>
          <w:spacing w:val="0"/>
          <w:position w:val="0"/>
          <w:sz w:val="32"/>
          <w:shd w:val="clear" w:fill="auto"/>
        </w:rPr>
        <w:t>。</w:t>
      </w:r>
    </w:p>
    <w:p>
      <w:pPr>
        <w:spacing w:before="0" w:after="0" w:line="240" w:lineRule="auto"/>
        <w:ind w:left="0" w:right="0" w:firstLine="640"/>
        <w:jc w:val="both"/>
        <w:rPr>
          <w:rFonts w:ascii="黑体" w:hAnsi="黑体" w:eastAsia="黑体" w:cs="黑体"/>
          <w:color w:val="auto"/>
          <w:spacing w:val="0"/>
          <w:position w:val="0"/>
          <w:sz w:val="32"/>
          <w:shd w:val="clear" w:fill="FFFFFF"/>
        </w:rPr>
      </w:pPr>
      <w:r>
        <w:rPr>
          <w:rFonts w:ascii="黑体" w:hAnsi="黑体" w:eastAsia="黑体" w:cs="黑体"/>
          <w:color w:val="auto"/>
          <w:spacing w:val="0"/>
          <w:position w:val="0"/>
          <w:sz w:val="32"/>
          <w:shd w:val="clear" w:fill="FFFFFF"/>
        </w:rPr>
        <w:t>六、关于</w:t>
      </w:r>
      <w:r>
        <w:rPr>
          <w:rFonts w:ascii="黑体" w:hAnsi="黑体" w:eastAsia="黑体" w:cs="黑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FFFFFF"/>
        </w:rPr>
        <w:t>年收支预算情况的总体说明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按照综合预算原则，海口市盐灶幼儿园所有收入和支出均纳入部门预算管理。收入包括：一般公共预算收入</w:t>
      </w:r>
      <w:r>
        <w:rPr>
          <w:rFonts w:hint="eastAsia" w:ascii="宋体" w:hAnsi="宋体" w:cs="宋体"/>
          <w:color w:val="auto"/>
          <w:spacing w:val="0"/>
          <w:position w:val="0"/>
          <w:sz w:val="32"/>
          <w:shd w:val="clear" w:fill="auto"/>
          <w:lang w:eastAsia="zh-CN"/>
        </w:rPr>
        <w:t>、上年结转</w:t>
      </w:r>
      <w:r>
        <w:rPr>
          <w:rFonts w:ascii="宋体" w:hAnsi="宋体" w:eastAsia="宋体" w:cs="宋体"/>
          <w:color w:val="auto"/>
          <w:spacing w:val="0"/>
          <w:position w:val="0"/>
          <w:sz w:val="32"/>
          <w:shd w:val="clear" w:fill="auto"/>
        </w:rPr>
        <w:t>；支出包括：教育支出；社会保障和就业支出；卫生健康支出；住房保障支出，海口市盐灶幼儿园</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年收支总预算</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w:t>
      </w:r>
    </w:p>
    <w:p>
      <w:pPr>
        <w:spacing w:before="0" w:after="0" w:line="240" w:lineRule="auto"/>
        <w:ind w:left="0" w:right="0" w:firstLine="640"/>
        <w:jc w:val="both"/>
        <w:rPr>
          <w:rFonts w:ascii="黑体" w:hAnsi="黑体" w:eastAsia="黑体" w:cs="黑体"/>
          <w:color w:val="auto"/>
          <w:spacing w:val="0"/>
          <w:position w:val="0"/>
          <w:sz w:val="32"/>
          <w:shd w:val="clear" w:fill="FFFFFF"/>
        </w:rPr>
      </w:pPr>
      <w:r>
        <w:rPr>
          <w:rFonts w:ascii="黑体" w:hAnsi="黑体" w:eastAsia="黑体" w:cs="黑体"/>
          <w:color w:val="auto"/>
          <w:spacing w:val="0"/>
          <w:position w:val="0"/>
          <w:sz w:val="32"/>
          <w:shd w:val="clear" w:fill="FFFFFF"/>
        </w:rPr>
        <w:t>七、关于</w:t>
      </w:r>
      <w:r>
        <w:rPr>
          <w:rFonts w:ascii="黑体" w:hAnsi="黑体" w:eastAsia="黑体" w:cs="黑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FFFFFF"/>
        </w:rPr>
        <w:t>年收入预算情况说明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年收入预算</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万元，其中：上年结转</w:t>
      </w:r>
      <w:r>
        <w:rPr>
          <w:rFonts w:ascii="仿宋_GB2312" w:hAnsi="仿宋_GB2312" w:eastAsia="仿宋_GB2312" w:cs="仿宋_GB2312"/>
          <w:color w:val="auto"/>
          <w:spacing w:val="0"/>
          <w:position w:val="0"/>
          <w:sz w:val="32"/>
          <w:shd w:val="clear" w:fill="auto"/>
        </w:rPr>
        <w:t>0.50</w:t>
      </w:r>
      <w:r>
        <w:rPr>
          <w:rFonts w:ascii="宋体" w:hAnsi="宋体" w:eastAsia="宋体" w:cs="宋体"/>
          <w:color w:val="auto"/>
          <w:spacing w:val="0"/>
          <w:position w:val="0"/>
          <w:sz w:val="32"/>
          <w:shd w:val="clear" w:fill="auto"/>
        </w:rPr>
        <w:t>万元，占</w:t>
      </w:r>
      <w:r>
        <w:rPr>
          <w:rFonts w:ascii="仿宋_GB2312" w:hAnsi="仿宋_GB2312" w:eastAsia="仿宋_GB2312" w:cs="仿宋_GB2312"/>
          <w:color w:val="auto"/>
          <w:spacing w:val="0"/>
          <w:position w:val="0"/>
          <w:sz w:val="32"/>
          <w:shd w:val="clear" w:fill="auto"/>
        </w:rPr>
        <w:t>0.08%</w:t>
      </w:r>
      <w:r>
        <w:rPr>
          <w:rFonts w:ascii="宋体" w:hAnsi="宋体" w:eastAsia="宋体" w:cs="宋体"/>
          <w:color w:val="auto"/>
          <w:spacing w:val="0"/>
          <w:position w:val="0"/>
          <w:sz w:val="32"/>
          <w:shd w:val="clear" w:fill="auto"/>
        </w:rPr>
        <w:t>；</w:t>
      </w:r>
      <w:r>
        <w:rPr>
          <w:rFonts w:hint="eastAsia" w:ascii="宋体" w:hAnsi="宋体" w:cs="宋体"/>
          <w:color w:val="auto"/>
          <w:spacing w:val="0"/>
          <w:position w:val="0"/>
          <w:sz w:val="32"/>
          <w:shd w:val="clear" w:fill="auto"/>
          <w:lang w:eastAsia="zh-CN"/>
        </w:rPr>
        <w:t>一般公共预算</w:t>
      </w:r>
      <w:r>
        <w:rPr>
          <w:rFonts w:ascii="宋体" w:hAnsi="宋体" w:eastAsia="宋体" w:cs="宋体"/>
          <w:color w:val="auto"/>
          <w:spacing w:val="0"/>
          <w:position w:val="0"/>
          <w:sz w:val="32"/>
          <w:shd w:val="clear" w:fill="auto"/>
        </w:rPr>
        <w:t>拨款收入</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万元，占</w:t>
      </w:r>
      <w:r>
        <w:rPr>
          <w:rFonts w:hint="eastAsia" w:ascii="仿宋_GB2312" w:hAnsi="仿宋_GB2312" w:eastAsia="仿宋_GB2312" w:cs="仿宋_GB2312"/>
          <w:color w:val="auto"/>
          <w:spacing w:val="0"/>
          <w:position w:val="0"/>
          <w:sz w:val="32"/>
          <w:shd w:val="clear" w:fill="auto"/>
          <w:lang w:val="en-US" w:eastAsia="zh-CN"/>
        </w:rPr>
        <w:t>99.92</w:t>
      </w:r>
      <w:r>
        <w:rPr>
          <w:rFonts w:ascii="仿宋_GB2312" w:hAnsi="仿宋_GB2312" w:eastAsia="仿宋_GB2312" w:cs="仿宋_GB2312"/>
          <w:color w:val="auto"/>
          <w:spacing w:val="0"/>
          <w:position w:val="0"/>
          <w:sz w:val="32"/>
          <w:shd w:val="clear" w:fill="auto"/>
        </w:rPr>
        <w:t>%</w:t>
      </w:r>
      <w:r>
        <w:rPr>
          <w:rFonts w:ascii="宋体" w:hAnsi="宋体" w:eastAsia="宋体" w:cs="宋体"/>
          <w:color w:val="auto"/>
          <w:spacing w:val="0"/>
          <w:position w:val="0"/>
          <w:sz w:val="32"/>
          <w:shd w:val="clear" w:fill="auto"/>
        </w:rPr>
        <w:t>。比上年预算数减少</w:t>
      </w:r>
      <w:r>
        <w:rPr>
          <w:rFonts w:ascii="仿宋_GB2312" w:hAnsi="仿宋_GB2312" w:eastAsia="仿宋_GB2312" w:cs="仿宋_GB2312"/>
          <w:color w:val="auto"/>
          <w:spacing w:val="0"/>
          <w:position w:val="0"/>
          <w:sz w:val="32"/>
          <w:shd w:val="clear" w:fill="auto"/>
        </w:rPr>
        <w:t>101.22</w:t>
      </w:r>
      <w:r>
        <w:rPr>
          <w:rFonts w:ascii="宋体" w:hAnsi="宋体" w:eastAsia="宋体" w:cs="宋体"/>
          <w:color w:val="auto"/>
          <w:spacing w:val="0"/>
          <w:position w:val="0"/>
          <w:sz w:val="32"/>
          <w:shd w:val="clear" w:fill="auto"/>
        </w:rPr>
        <w:t>万元，主要是本年度设备项目减少。</w:t>
      </w:r>
    </w:p>
    <w:p>
      <w:pPr>
        <w:spacing w:before="0" w:after="0" w:line="240" w:lineRule="auto"/>
        <w:ind w:left="0" w:right="0" w:firstLine="640"/>
        <w:jc w:val="both"/>
        <w:rPr>
          <w:rFonts w:ascii="黑体" w:hAnsi="黑体" w:eastAsia="黑体" w:cs="黑体"/>
          <w:color w:val="auto"/>
          <w:spacing w:val="0"/>
          <w:position w:val="0"/>
          <w:sz w:val="32"/>
          <w:shd w:val="clear" w:fill="FFFFFF"/>
        </w:rPr>
      </w:pPr>
      <w:r>
        <w:rPr>
          <w:rFonts w:ascii="黑体" w:hAnsi="黑体" w:eastAsia="黑体" w:cs="黑体"/>
          <w:color w:val="auto"/>
          <w:spacing w:val="0"/>
          <w:position w:val="0"/>
          <w:sz w:val="32"/>
          <w:shd w:val="clear" w:fill="FFFFFF"/>
        </w:rPr>
        <w:t>八、关于</w:t>
      </w:r>
      <w:r>
        <w:rPr>
          <w:rFonts w:ascii="黑体" w:hAnsi="黑体" w:eastAsia="黑体" w:cs="黑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黑体" w:hAnsi="黑体" w:eastAsia="黑体" w:cs="黑体"/>
          <w:color w:val="auto"/>
          <w:spacing w:val="0"/>
          <w:position w:val="0"/>
          <w:sz w:val="32"/>
          <w:shd w:val="clear" w:fill="FFFFFF"/>
        </w:rPr>
        <w:t>年支出预算情况说明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海口市盐灶幼儿园</w:t>
      </w:r>
      <w:r>
        <w:rPr>
          <w:rFonts w:ascii="仿宋_GB2312" w:hAnsi="仿宋_GB2312" w:eastAsia="仿宋_GB2312" w:cs="仿宋_GB2312"/>
          <w:color w:val="auto"/>
          <w:spacing w:val="0"/>
          <w:position w:val="0"/>
          <w:sz w:val="32"/>
          <w:shd w:val="clear" w:fill="auto"/>
        </w:rPr>
        <w:t>2022</w:t>
      </w:r>
      <w:r>
        <w:rPr>
          <w:rFonts w:ascii="宋体" w:hAnsi="宋体" w:eastAsia="宋体" w:cs="宋体"/>
          <w:color w:val="auto"/>
          <w:spacing w:val="0"/>
          <w:position w:val="0"/>
          <w:sz w:val="32"/>
          <w:shd w:val="clear" w:fill="auto"/>
        </w:rPr>
        <w:t>年支出预算</w:t>
      </w:r>
      <w:r>
        <w:rPr>
          <w:rFonts w:ascii="仿宋_GB2312" w:hAnsi="仿宋_GB2312" w:eastAsia="仿宋_GB2312" w:cs="仿宋_GB2312"/>
          <w:color w:val="auto"/>
          <w:spacing w:val="0"/>
          <w:position w:val="0"/>
          <w:sz w:val="32"/>
          <w:shd w:val="clear" w:fill="auto"/>
        </w:rPr>
        <w:t>915.61</w:t>
      </w:r>
      <w:r>
        <w:rPr>
          <w:rFonts w:ascii="宋体" w:hAnsi="宋体" w:eastAsia="宋体" w:cs="宋体"/>
          <w:color w:val="auto"/>
          <w:spacing w:val="0"/>
          <w:position w:val="0"/>
          <w:sz w:val="32"/>
          <w:shd w:val="clear" w:fill="auto"/>
        </w:rPr>
        <w:t>万元，其中：基本支出</w:t>
      </w:r>
      <w:r>
        <w:rPr>
          <w:rFonts w:ascii="仿宋_GB2312" w:hAnsi="仿宋_GB2312" w:eastAsia="仿宋_GB2312" w:cs="仿宋_GB2312"/>
          <w:color w:val="auto"/>
          <w:spacing w:val="0"/>
          <w:position w:val="0"/>
          <w:sz w:val="32"/>
          <w:shd w:val="clear" w:fill="auto"/>
        </w:rPr>
        <w:t>5.24</w:t>
      </w:r>
      <w:r>
        <w:rPr>
          <w:rFonts w:ascii="宋体" w:hAnsi="宋体" w:eastAsia="宋体" w:cs="宋体"/>
          <w:color w:val="auto"/>
          <w:spacing w:val="0"/>
          <w:position w:val="0"/>
          <w:sz w:val="32"/>
          <w:shd w:val="clear" w:fill="auto"/>
        </w:rPr>
        <w:t>万元，占</w:t>
      </w:r>
      <w:r>
        <w:rPr>
          <w:rFonts w:ascii="仿宋_GB2312" w:hAnsi="仿宋_GB2312" w:eastAsia="仿宋_GB2312" w:cs="仿宋_GB2312"/>
          <w:color w:val="auto"/>
          <w:spacing w:val="0"/>
          <w:position w:val="0"/>
          <w:sz w:val="32"/>
          <w:shd w:val="clear" w:fill="auto"/>
        </w:rPr>
        <w:t>8.5%</w:t>
      </w:r>
      <w:r>
        <w:rPr>
          <w:rFonts w:ascii="宋体" w:hAnsi="宋体" w:eastAsia="宋体" w:cs="宋体"/>
          <w:color w:val="auto"/>
          <w:spacing w:val="0"/>
          <w:position w:val="0"/>
          <w:sz w:val="32"/>
          <w:shd w:val="clear" w:fill="auto"/>
        </w:rPr>
        <w:t>；项目支出</w:t>
      </w:r>
      <w:r>
        <w:rPr>
          <w:rFonts w:ascii="仿宋_GB2312" w:hAnsi="仿宋_GB2312" w:eastAsia="仿宋_GB2312" w:cs="仿宋_GB2312"/>
          <w:color w:val="auto"/>
          <w:spacing w:val="0"/>
          <w:position w:val="0"/>
          <w:sz w:val="32"/>
          <w:shd w:val="clear" w:fill="auto"/>
        </w:rPr>
        <w:t>880.38</w:t>
      </w:r>
      <w:r>
        <w:rPr>
          <w:rFonts w:ascii="宋体" w:hAnsi="宋体" w:eastAsia="宋体" w:cs="宋体"/>
          <w:color w:val="auto"/>
          <w:spacing w:val="0"/>
          <w:position w:val="0"/>
          <w:sz w:val="32"/>
          <w:shd w:val="clear" w:fill="auto"/>
        </w:rPr>
        <w:t>万元，占</w:t>
      </w:r>
      <w:r>
        <w:rPr>
          <w:rFonts w:ascii="仿宋_GB2312" w:hAnsi="仿宋_GB2312" w:eastAsia="仿宋_GB2312" w:cs="仿宋_GB2312"/>
          <w:color w:val="auto"/>
          <w:spacing w:val="0"/>
          <w:position w:val="0"/>
          <w:sz w:val="32"/>
          <w:shd w:val="clear" w:fill="auto"/>
        </w:rPr>
        <w:t>91.5%</w:t>
      </w:r>
      <w:r>
        <w:rPr>
          <w:rFonts w:ascii="宋体" w:hAnsi="宋体" w:eastAsia="宋体" w:cs="宋体"/>
          <w:color w:val="auto"/>
          <w:spacing w:val="0"/>
          <w:position w:val="0"/>
          <w:sz w:val="32"/>
          <w:shd w:val="clear" w:fill="auto"/>
        </w:rPr>
        <w:t>。比上年预算数减少</w:t>
      </w:r>
      <w:r>
        <w:rPr>
          <w:rFonts w:ascii="仿宋_GB2312" w:hAnsi="仿宋_GB2312" w:eastAsia="仿宋_GB2312" w:cs="仿宋_GB2312"/>
          <w:color w:val="auto"/>
          <w:spacing w:val="0"/>
          <w:position w:val="0"/>
          <w:sz w:val="32"/>
          <w:shd w:val="clear" w:fill="auto"/>
        </w:rPr>
        <w:t>101.22</w:t>
      </w:r>
      <w:r>
        <w:rPr>
          <w:rFonts w:ascii="宋体" w:hAnsi="宋体" w:eastAsia="宋体" w:cs="宋体"/>
          <w:color w:val="auto"/>
          <w:spacing w:val="0"/>
          <w:position w:val="0"/>
          <w:sz w:val="32"/>
          <w:shd w:val="clear" w:fill="auto"/>
        </w:rPr>
        <w:t>万元，主要是本年度设备项目减少。</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黑体" w:hAnsi="黑体" w:eastAsia="黑体" w:cs="黑体"/>
          <w:color w:val="auto"/>
          <w:spacing w:val="0"/>
          <w:position w:val="0"/>
          <w:sz w:val="32"/>
          <w:shd w:val="clear" w:fill="FFFFFF"/>
        </w:rPr>
        <w:t>九、其他重要事项的情况说明</w:t>
      </w:r>
    </w:p>
    <w:p>
      <w:pPr>
        <w:ind w:firstLine="640" w:firstLineChars="200"/>
        <w:rPr>
          <w:rFonts w:hint="eastAsia" w:ascii="仿宋_GB2312" w:hAnsi="ˎ̥" w:eastAsia="仿宋_GB2312"/>
          <w:color w:val="000000" w:themeColor="text1"/>
          <w:sz w:val="32"/>
          <w:szCs w:val="32"/>
        </w:rPr>
      </w:pPr>
      <w:r>
        <w:rPr>
          <w:rFonts w:hint="eastAsia" w:ascii="仿宋_GB2312" w:hAnsi="ˎ̥" w:eastAsia="仿宋_GB2312"/>
          <w:color w:val="000000" w:themeColor="text1"/>
          <w:sz w:val="32"/>
          <w:szCs w:val="32"/>
          <w:lang w:eastAsia="zh-CN"/>
        </w:rPr>
        <w:t>（</w:t>
      </w:r>
      <w:r>
        <w:rPr>
          <w:rFonts w:hint="eastAsia" w:ascii="仿宋_GB2312" w:hAnsi="ˎ̥" w:eastAsia="仿宋_GB2312"/>
          <w:color w:val="000000" w:themeColor="text1"/>
          <w:sz w:val="32"/>
          <w:szCs w:val="32"/>
          <w:lang w:val="en-US" w:eastAsia="zh-CN"/>
        </w:rPr>
        <w:t>一</w:t>
      </w:r>
      <w:r>
        <w:rPr>
          <w:rFonts w:hint="eastAsia" w:ascii="仿宋_GB2312" w:hAnsi="ˎ̥" w:eastAsia="仿宋_GB2312"/>
          <w:color w:val="000000" w:themeColor="text1"/>
          <w:sz w:val="32"/>
          <w:szCs w:val="32"/>
          <w:lang w:eastAsia="zh-CN"/>
        </w:rPr>
        <w:t>）</w:t>
      </w:r>
      <w:bookmarkStart w:id="0" w:name="_Toc15262_WPSOffice_Level2"/>
      <w:bookmarkStart w:id="1" w:name="_Toc23598_WPSOffice_Level2"/>
      <w:bookmarkStart w:id="2" w:name="_Toc18325_WPSOffice_Level2"/>
      <w:bookmarkStart w:id="3" w:name="_Toc15565_WPSOffice_Level2"/>
      <w:bookmarkStart w:id="4" w:name="_Toc5978_WPSOffice_Level2"/>
      <w:bookmarkStart w:id="5" w:name="_Toc32639_WPSOffice_Level2"/>
      <w:r>
        <w:rPr>
          <w:rFonts w:hint="eastAsia" w:ascii="仿宋_GB2312" w:hAnsi="ˎ̥" w:eastAsia="仿宋_GB2312"/>
          <w:color w:val="000000" w:themeColor="text1"/>
          <w:sz w:val="32"/>
          <w:szCs w:val="32"/>
        </w:rPr>
        <w:t>机关运行经费支出情况。</w:t>
      </w:r>
      <w:bookmarkEnd w:id="0"/>
      <w:bookmarkEnd w:id="1"/>
      <w:bookmarkEnd w:id="2"/>
      <w:bookmarkEnd w:id="3"/>
      <w:bookmarkEnd w:id="4"/>
      <w:bookmarkEnd w:id="5"/>
    </w:p>
    <w:p>
      <w:pPr>
        <w:ind w:firstLine="640" w:firstLineChars="200"/>
        <w:rPr>
          <w:rFonts w:hint="eastAsia" w:ascii="仿宋_GB2312" w:hAnsi="ˎ̥" w:eastAsia="仿宋_GB2312"/>
          <w:color w:val="000000" w:themeColor="text1"/>
          <w:sz w:val="32"/>
          <w:szCs w:val="32"/>
        </w:rPr>
      </w:pPr>
      <w:r>
        <w:rPr>
          <w:rFonts w:hint="eastAsia" w:ascii="仿宋_GB2312" w:hAnsi="ˎ̥" w:eastAsia="仿宋_GB2312"/>
          <w:color w:val="000000" w:themeColor="text1"/>
          <w:sz w:val="32"/>
          <w:szCs w:val="32"/>
        </w:rPr>
        <w:t>202</w:t>
      </w:r>
      <w:r>
        <w:rPr>
          <w:rFonts w:hint="eastAsia" w:ascii="仿宋_GB2312" w:hAnsi="ˎ̥" w:eastAsia="仿宋_GB2312"/>
          <w:color w:val="000000" w:themeColor="text1"/>
          <w:sz w:val="32"/>
          <w:szCs w:val="32"/>
          <w:lang w:val="en-US" w:eastAsia="zh-CN"/>
        </w:rPr>
        <w:t>2</w:t>
      </w:r>
      <w:r>
        <w:rPr>
          <w:rFonts w:hint="eastAsia" w:ascii="仿宋_GB2312" w:hAnsi="ˎ̥" w:eastAsia="仿宋_GB2312"/>
          <w:color w:val="000000" w:themeColor="text1"/>
          <w:sz w:val="32"/>
          <w:szCs w:val="32"/>
        </w:rPr>
        <w:t>年海口市</w:t>
      </w:r>
      <w:r>
        <w:rPr>
          <w:rFonts w:hint="eastAsia" w:ascii="仿宋_GB2312" w:hAnsi="ˎ̥" w:eastAsia="仿宋_GB2312"/>
          <w:color w:val="000000" w:themeColor="text1"/>
          <w:sz w:val="32"/>
          <w:szCs w:val="32"/>
          <w:lang w:val="en-US" w:eastAsia="zh-CN"/>
        </w:rPr>
        <w:t>盐灶</w:t>
      </w:r>
      <w:r>
        <w:rPr>
          <w:rFonts w:hint="eastAsia" w:ascii="仿宋_GB2312" w:hAnsi="ˎ̥" w:eastAsia="仿宋_GB2312"/>
          <w:color w:val="000000" w:themeColor="text1"/>
          <w:sz w:val="32"/>
          <w:szCs w:val="32"/>
        </w:rPr>
        <w:t>幼儿园单位机关运行经费</w:t>
      </w:r>
      <w:r>
        <w:rPr>
          <w:rFonts w:ascii="仿宋_GB2312" w:hAnsi="ˎ̥" w:eastAsia="仿宋_GB2312"/>
          <w:color w:val="000000" w:themeColor="text1"/>
          <w:sz w:val="32"/>
          <w:szCs w:val="32"/>
        </w:rPr>
        <w:t>0</w:t>
      </w:r>
      <w:r>
        <w:rPr>
          <w:rFonts w:hint="eastAsia" w:ascii="仿宋_GB2312" w:hAnsi="ˎ̥" w:eastAsia="仿宋_GB2312"/>
          <w:color w:val="000000" w:themeColor="text1"/>
          <w:sz w:val="32"/>
          <w:szCs w:val="32"/>
        </w:rPr>
        <w:t>万元（为单位</w:t>
      </w:r>
      <w:r>
        <w:rPr>
          <w:rFonts w:hint="eastAsia" w:ascii="仿宋_GB2312" w:hAnsi="ˎ̥" w:eastAsia="仿宋_GB2312"/>
          <w:color w:val="000000" w:themeColor="text1"/>
          <w:sz w:val="32"/>
          <w:szCs w:val="32"/>
          <w:lang w:val="en-US" w:eastAsia="zh-CN"/>
        </w:rPr>
        <w:t>预</w:t>
      </w:r>
      <w:r>
        <w:rPr>
          <w:rFonts w:hint="eastAsia" w:ascii="仿宋_GB2312" w:hAnsi="ˎ̥" w:eastAsia="仿宋_GB2312"/>
          <w:color w:val="000000" w:themeColor="text1"/>
          <w:sz w:val="32"/>
          <w:szCs w:val="32"/>
        </w:rPr>
        <w:t>算中行政单位和参公事业单位使用一般公共预算财政拨款安排的基本支出中的日常公用经费支出，事业单位没有机关运行经费支出），比年初预算增加（减少）</w:t>
      </w:r>
      <w:r>
        <w:rPr>
          <w:rFonts w:ascii="仿宋_GB2312" w:hAnsi="ˎ̥" w:eastAsia="仿宋_GB2312"/>
          <w:color w:val="000000" w:themeColor="text1"/>
          <w:sz w:val="32"/>
          <w:szCs w:val="32"/>
        </w:rPr>
        <w:t>0</w:t>
      </w:r>
      <w:r>
        <w:rPr>
          <w:rFonts w:hint="eastAsia" w:ascii="仿宋_GB2312" w:hAnsi="ˎ̥" w:eastAsia="仿宋_GB2312"/>
          <w:color w:val="000000" w:themeColor="text1"/>
          <w:sz w:val="32"/>
          <w:szCs w:val="32"/>
        </w:rPr>
        <w:t>万元，增长（降低）</w:t>
      </w:r>
      <w:r>
        <w:rPr>
          <w:rFonts w:ascii="仿宋_GB2312" w:hAnsi="ˎ̥" w:eastAsia="仿宋_GB2312"/>
          <w:color w:val="000000" w:themeColor="text1"/>
          <w:sz w:val="32"/>
          <w:szCs w:val="32"/>
        </w:rPr>
        <w:t>0</w:t>
      </w:r>
      <w:r>
        <w:rPr>
          <w:rFonts w:hint="eastAsia" w:ascii="仿宋_GB2312" w:hAnsi="ˎ̥" w:eastAsia="仿宋_GB2312"/>
          <w:color w:val="000000" w:themeColor="text1"/>
          <w:sz w:val="32"/>
          <w:szCs w:val="32"/>
        </w:rPr>
        <w:t>%。主要原因是：本单位无此项相关收支</w:t>
      </w:r>
      <w:r>
        <w:rPr>
          <w:rFonts w:hint="eastAsia" w:ascii="仿宋_GB2312" w:hAnsi="ˎ̥" w:eastAsia="仿宋_GB2312"/>
          <w:color w:val="000000" w:themeColor="text1"/>
          <w:sz w:val="32"/>
          <w:szCs w:val="32"/>
          <w:lang w:val="en-US" w:eastAsia="zh-CN"/>
        </w:rPr>
        <w:t>预</w:t>
      </w:r>
      <w:r>
        <w:rPr>
          <w:rFonts w:hint="eastAsia" w:ascii="仿宋_GB2312" w:hAnsi="ˎ̥" w:eastAsia="仿宋_GB2312"/>
          <w:color w:val="000000" w:themeColor="text1"/>
          <w:sz w:val="32"/>
          <w:szCs w:val="32"/>
        </w:rPr>
        <w:t>算数据。</w:t>
      </w:r>
    </w:p>
    <w:p>
      <w:pPr>
        <w:spacing w:before="0" w:after="0" w:line="240" w:lineRule="auto"/>
        <w:ind w:right="0" w:firstLine="640" w:firstLineChars="20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w:t>
      </w:r>
      <w:r>
        <w:rPr>
          <w:rFonts w:hint="eastAsia" w:ascii="楷体" w:hAnsi="楷体" w:eastAsia="楷体" w:cs="楷体"/>
          <w:color w:val="auto"/>
          <w:spacing w:val="0"/>
          <w:position w:val="0"/>
          <w:sz w:val="32"/>
          <w:shd w:val="clear" w:fill="auto"/>
          <w:lang w:val="en-US" w:eastAsia="zh-CN"/>
        </w:rPr>
        <w:t>二</w:t>
      </w:r>
      <w:r>
        <w:rPr>
          <w:rFonts w:ascii="楷体" w:hAnsi="楷体" w:eastAsia="楷体" w:cs="楷体"/>
          <w:color w:val="auto"/>
          <w:spacing w:val="0"/>
          <w:position w:val="0"/>
          <w:sz w:val="32"/>
          <w:shd w:val="clear" w:fill="auto"/>
        </w:rPr>
        <w:t>）政府采购情况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2022</w:t>
      </w:r>
      <w:r>
        <w:rPr>
          <w:rFonts w:ascii="楷体" w:hAnsi="楷体" w:eastAsia="楷体" w:cs="楷体"/>
          <w:color w:val="auto"/>
          <w:spacing w:val="0"/>
          <w:position w:val="0"/>
          <w:sz w:val="32"/>
          <w:shd w:val="clear" w:fill="auto"/>
        </w:rPr>
        <w:t>年海口市盐灶幼儿园政府采购预算总额</w:t>
      </w:r>
      <w:r>
        <w:rPr>
          <w:rFonts w:ascii="仿宋_GB2312" w:hAnsi="仿宋_GB2312" w:eastAsia="仿宋_GB2312" w:cs="仿宋_GB2312"/>
          <w:color w:val="auto"/>
          <w:spacing w:val="0"/>
          <w:position w:val="0"/>
          <w:sz w:val="32"/>
          <w:shd w:val="clear" w:fill="auto"/>
        </w:rPr>
        <w:t>580.18</w:t>
      </w:r>
      <w:r>
        <w:rPr>
          <w:rFonts w:ascii="楷体" w:hAnsi="楷体" w:eastAsia="楷体" w:cs="楷体"/>
          <w:color w:val="auto"/>
          <w:spacing w:val="0"/>
          <w:position w:val="0"/>
          <w:sz w:val="32"/>
          <w:shd w:val="clear" w:fill="auto"/>
        </w:rPr>
        <w:t>万元，其中：政府采购货物预算</w:t>
      </w:r>
      <w:r>
        <w:rPr>
          <w:rFonts w:ascii="仿宋_GB2312" w:hAnsi="仿宋_GB2312" w:eastAsia="仿宋_GB2312" w:cs="仿宋_GB2312"/>
          <w:color w:val="auto"/>
          <w:spacing w:val="0"/>
          <w:position w:val="0"/>
          <w:sz w:val="32"/>
          <w:shd w:val="clear" w:fill="auto"/>
        </w:rPr>
        <w:t>0.78</w:t>
      </w:r>
      <w:r>
        <w:rPr>
          <w:rFonts w:ascii="楷体" w:hAnsi="楷体" w:eastAsia="楷体" w:cs="楷体"/>
          <w:color w:val="auto"/>
          <w:spacing w:val="0"/>
          <w:position w:val="0"/>
          <w:sz w:val="32"/>
          <w:shd w:val="clear" w:fill="auto"/>
        </w:rPr>
        <w:t>万元，政府采购工程预算</w:t>
      </w:r>
      <w:r>
        <w:rPr>
          <w:rFonts w:ascii="仿宋_GB2312" w:hAnsi="仿宋_GB2312" w:eastAsia="仿宋_GB2312" w:cs="仿宋_GB2312"/>
          <w:color w:val="auto"/>
          <w:spacing w:val="0"/>
          <w:position w:val="0"/>
          <w:sz w:val="32"/>
          <w:shd w:val="clear" w:fill="auto"/>
        </w:rPr>
        <w:t>0</w:t>
      </w:r>
      <w:r>
        <w:rPr>
          <w:rFonts w:ascii="楷体" w:hAnsi="楷体" w:eastAsia="楷体" w:cs="楷体"/>
          <w:color w:val="auto"/>
          <w:spacing w:val="0"/>
          <w:position w:val="0"/>
          <w:sz w:val="32"/>
          <w:shd w:val="clear" w:fill="auto"/>
        </w:rPr>
        <w:t>万元，政府采购服务预算</w:t>
      </w:r>
      <w:r>
        <w:rPr>
          <w:rFonts w:ascii="仿宋_GB2312" w:hAnsi="仿宋_GB2312" w:eastAsia="仿宋_GB2312" w:cs="仿宋_GB2312"/>
          <w:color w:val="auto"/>
          <w:spacing w:val="0"/>
          <w:position w:val="0"/>
          <w:sz w:val="32"/>
          <w:shd w:val="clear" w:fill="auto"/>
        </w:rPr>
        <w:t>579.4</w:t>
      </w:r>
      <w:r>
        <w:rPr>
          <w:rFonts w:ascii="楷体" w:hAnsi="楷体" w:eastAsia="楷体" w:cs="楷体"/>
          <w:color w:val="auto"/>
          <w:spacing w:val="0"/>
          <w:position w:val="0"/>
          <w:sz w:val="32"/>
          <w:shd w:val="clear" w:fill="auto"/>
        </w:rPr>
        <w:t>万元。</w:t>
      </w:r>
    </w:p>
    <w:p>
      <w:pPr>
        <w:spacing w:before="0" w:after="0" w:line="240" w:lineRule="auto"/>
        <w:ind w:left="0" w:right="0" w:firstLine="64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w:t>
      </w:r>
      <w:r>
        <w:rPr>
          <w:rFonts w:hint="eastAsia" w:ascii="楷体" w:hAnsi="楷体" w:eastAsia="楷体" w:cs="楷体"/>
          <w:color w:val="auto"/>
          <w:spacing w:val="0"/>
          <w:position w:val="0"/>
          <w:sz w:val="32"/>
          <w:shd w:val="clear" w:fill="auto"/>
          <w:lang w:val="en-US" w:eastAsia="zh-CN"/>
        </w:rPr>
        <w:t>三</w:t>
      </w:r>
      <w:r>
        <w:rPr>
          <w:rFonts w:ascii="楷体" w:hAnsi="楷体" w:eastAsia="楷体" w:cs="楷体"/>
          <w:color w:val="auto"/>
          <w:spacing w:val="0"/>
          <w:position w:val="0"/>
          <w:sz w:val="32"/>
          <w:shd w:val="clear" w:fill="auto"/>
        </w:rPr>
        <w:t>）国有资产占有使用情况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截至</w:t>
      </w:r>
      <w:r>
        <w:rPr>
          <w:rFonts w:ascii="仿宋_GB2312" w:hAnsi="仿宋_GB2312" w:eastAsia="仿宋_GB2312" w:cs="仿宋_GB2312"/>
          <w:color w:val="auto"/>
          <w:spacing w:val="0"/>
          <w:position w:val="0"/>
          <w:sz w:val="32"/>
          <w:shd w:val="clear" w:fill="auto"/>
        </w:rPr>
        <w:t>2021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12</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31</w:t>
      </w:r>
      <w:r>
        <w:rPr>
          <w:rFonts w:ascii="宋体" w:hAnsi="宋体" w:eastAsia="宋体" w:cs="宋体"/>
          <w:color w:val="auto"/>
          <w:spacing w:val="0"/>
          <w:position w:val="0"/>
          <w:sz w:val="32"/>
          <w:shd w:val="clear" w:fill="auto"/>
        </w:rPr>
        <w:t>日，海口市盐灶幼儿园本级及下属各预算单位共有车辆</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辆，其中，领导干部用车</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辆，机要通信应急用车</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辆、一般执法执勤用车</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辆、特种专业技术用车</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辆、其他用车</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辆。单位价值</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万元以上设备</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台（套）。</w:t>
      </w:r>
    </w:p>
    <w:p>
      <w:pPr>
        <w:spacing w:before="0" w:after="0" w:line="240" w:lineRule="auto"/>
        <w:ind w:left="0" w:right="0" w:firstLine="64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w:t>
      </w:r>
      <w:r>
        <w:rPr>
          <w:rFonts w:hint="eastAsia" w:ascii="楷体" w:hAnsi="楷体" w:eastAsia="楷体" w:cs="楷体"/>
          <w:color w:val="auto"/>
          <w:spacing w:val="0"/>
          <w:position w:val="0"/>
          <w:sz w:val="32"/>
          <w:shd w:val="clear" w:fill="auto"/>
          <w:lang w:val="en-US" w:eastAsia="zh-CN"/>
        </w:rPr>
        <w:t>四</w:t>
      </w:r>
      <w:r>
        <w:rPr>
          <w:rFonts w:ascii="楷体" w:hAnsi="楷体" w:eastAsia="楷体" w:cs="楷体"/>
          <w:color w:val="auto"/>
          <w:spacing w:val="0"/>
          <w:position w:val="0"/>
          <w:sz w:val="32"/>
          <w:shd w:val="clear" w:fill="auto"/>
        </w:rPr>
        <w:t>）绩效目标设置情况</w:t>
      </w:r>
    </w:p>
    <w:p>
      <w:pPr>
        <w:spacing w:before="0" w:after="0" w:line="240" w:lineRule="auto"/>
        <w:ind w:left="0" w:right="0" w:firstLine="640"/>
        <w:jc w:val="both"/>
        <w:rPr>
          <w:rFonts w:ascii="楷体" w:hAnsi="楷体" w:eastAsia="楷体" w:cs="楷体"/>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2022</w:t>
      </w:r>
      <w:r>
        <w:rPr>
          <w:rFonts w:ascii="楷体" w:hAnsi="楷体" w:eastAsia="楷体" w:cs="楷体"/>
          <w:color w:val="auto"/>
          <w:spacing w:val="0"/>
          <w:position w:val="0"/>
          <w:sz w:val="32"/>
          <w:shd w:val="clear" w:fill="auto"/>
        </w:rPr>
        <w:t>年海口市盐灶幼儿园</w:t>
      </w:r>
      <w:r>
        <w:rPr>
          <w:rFonts w:ascii="仿宋_GB2312" w:hAnsi="仿宋_GB2312" w:eastAsia="仿宋_GB2312" w:cs="仿宋_GB2312"/>
          <w:color w:val="auto"/>
          <w:spacing w:val="0"/>
          <w:position w:val="0"/>
          <w:sz w:val="32"/>
          <w:shd w:val="clear" w:fill="auto"/>
        </w:rPr>
        <w:t>15</w:t>
      </w:r>
      <w:r>
        <w:rPr>
          <w:rFonts w:ascii="楷体" w:hAnsi="楷体" w:eastAsia="楷体" w:cs="楷体"/>
          <w:color w:val="auto"/>
          <w:spacing w:val="0"/>
          <w:position w:val="0"/>
          <w:sz w:val="32"/>
          <w:shd w:val="clear" w:fill="auto"/>
        </w:rPr>
        <w:t>个项目实行绩效目标管理，涉及一般公共预算</w:t>
      </w:r>
      <w:r>
        <w:rPr>
          <w:rFonts w:ascii="仿宋_GB2312" w:hAnsi="仿宋_GB2312" w:eastAsia="仿宋_GB2312" w:cs="仿宋_GB2312"/>
          <w:color w:val="auto"/>
          <w:spacing w:val="0"/>
          <w:position w:val="0"/>
          <w:sz w:val="32"/>
          <w:shd w:val="clear" w:fill="auto"/>
        </w:rPr>
        <w:t>915.11</w:t>
      </w:r>
      <w:r>
        <w:rPr>
          <w:rFonts w:ascii="楷体" w:hAnsi="楷体" w:eastAsia="楷体" w:cs="楷体"/>
          <w:color w:val="auto"/>
          <w:spacing w:val="0"/>
          <w:position w:val="0"/>
          <w:sz w:val="32"/>
          <w:shd w:val="clear" w:fill="auto"/>
        </w:rPr>
        <w:t>万元、政府性基金</w:t>
      </w:r>
      <w:r>
        <w:rPr>
          <w:rFonts w:ascii="仿宋_GB2312" w:hAnsi="仿宋_GB2312" w:eastAsia="仿宋_GB2312" w:cs="仿宋_GB2312"/>
          <w:color w:val="auto"/>
          <w:spacing w:val="0"/>
          <w:position w:val="0"/>
          <w:sz w:val="32"/>
          <w:shd w:val="clear" w:fill="auto"/>
        </w:rPr>
        <w:t>0</w:t>
      </w:r>
      <w:r>
        <w:rPr>
          <w:rFonts w:ascii="楷体" w:hAnsi="楷体" w:eastAsia="楷体" w:cs="楷体"/>
          <w:color w:val="auto"/>
          <w:spacing w:val="0"/>
          <w:position w:val="0"/>
          <w:sz w:val="32"/>
          <w:shd w:val="clear" w:fill="auto"/>
        </w:rPr>
        <w:t>万元。</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lang w:val="en-US" w:eastAsia="zh-CN"/>
        </w:rPr>
        <w:t>五</w:t>
      </w: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rPr>
        <w:t>重点项目预算绩效</w:t>
      </w:r>
      <w:r>
        <w:rPr>
          <w:rFonts w:hint="eastAsia" w:ascii="仿宋_GB2312" w:hAnsi="黑体" w:eastAsia="仿宋_GB2312"/>
          <w:color w:val="000000" w:themeColor="text1"/>
          <w:sz w:val="32"/>
          <w:szCs w:val="32"/>
          <w:lang w:val="en-US" w:eastAsia="zh-CN"/>
        </w:rPr>
        <w:t>目标（无）</w:t>
      </w:r>
    </w:p>
    <w:p>
      <w:pPr>
        <w:spacing w:before="0" w:after="0" w:line="240" w:lineRule="auto"/>
        <w:ind w:left="0" w:right="0" w:firstLine="640"/>
        <w:jc w:val="both"/>
        <w:rPr>
          <w:rFonts w:ascii="楷体" w:hAnsi="楷体" w:eastAsia="楷体" w:cs="楷体"/>
          <w:color w:val="auto"/>
          <w:spacing w:val="0"/>
          <w:position w:val="0"/>
          <w:sz w:val="32"/>
          <w:shd w:val="clear" w:fill="auto"/>
        </w:rPr>
      </w:pPr>
    </w:p>
    <w:p>
      <w:pPr>
        <w:spacing w:before="0" w:after="0" w:line="240" w:lineRule="auto"/>
        <w:ind w:left="0" w:right="0" w:firstLine="0"/>
        <w:jc w:val="center"/>
        <w:rPr>
          <w:rFonts w:ascii="黑体" w:hAnsi="黑体" w:eastAsia="黑体" w:cs="黑体"/>
          <w:color w:val="auto"/>
          <w:spacing w:val="0"/>
          <w:position w:val="0"/>
          <w:sz w:val="32"/>
          <w:shd w:val="clear" w:fill="auto"/>
        </w:rPr>
      </w:pPr>
    </w:p>
    <w:p>
      <w:pPr>
        <w:spacing w:before="0" w:after="0" w:line="240" w:lineRule="auto"/>
        <w:ind w:left="0" w:right="0" w:firstLine="0"/>
        <w:jc w:val="left"/>
        <w:rPr>
          <w:rFonts w:ascii="仿宋_GB2312" w:hAnsi="仿宋_GB2312" w:eastAsia="仿宋_GB2312" w:cs="仿宋_GB2312"/>
          <w:color w:val="000000"/>
          <w:spacing w:val="0"/>
          <w:position w:val="0"/>
          <w:sz w:val="32"/>
          <w:shd w:val="clear" w:fill="auto"/>
        </w:rPr>
      </w:pPr>
    </w:p>
    <w:p>
      <w:pPr>
        <w:spacing w:before="0" w:after="0" w:line="240" w:lineRule="auto"/>
        <w:ind w:left="0" w:right="0" w:firstLine="0"/>
        <w:jc w:val="center"/>
        <w:rPr>
          <w:rFonts w:ascii="黑体" w:hAnsi="黑体" w:eastAsia="黑体" w:cs="黑体"/>
          <w:b/>
          <w:color w:val="auto"/>
          <w:spacing w:val="0"/>
          <w:position w:val="0"/>
          <w:sz w:val="32"/>
          <w:shd w:val="clear" w:fill="auto"/>
        </w:rPr>
      </w:pPr>
      <w:r>
        <w:rPr>
          <w:rFonts w:ascii="黑体" w:hAnsi="黑体" w:eastAsia="黑体" w:cs="黑体"/>
          <w:b/>
          <w:color w:val="auto"/>
          <w:spacing w:val="0"/>
          <w:position w:val="0"/>
          <w:sz w:val="32"/>
          <w:shd w:val="clear" w:fill="auto"/>
        </w:rPr>
        <w:t>第四部分  名词解释</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一、财政拨款收入：指本级财政当年拨付的资金。</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二、事业收入：指事业单位开展专业业务活动及辅助活动取得的收入。</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三、经营收入：指事业单位在专业业务活动及其辅助活动之外开展非独立核算经营活动取得的收入。</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四、其他收入：指除上述“财政拨款收入”“事业收入”“经营收入”等以外的收入。</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五、年初结转和结余：指以前年度尚未完成、结转到本年按有关规定继续使用的资金。</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六、基本支出：指行政事业单位用于为保障其机构正常运转、完成日常工作任务而发生的人员支出和公用支出。</w:t>
      </w:r>
      <w:r>
        <w:rPr>
          <w:rFonts w:ascii="仿宋_GB2312" w:hAnsi="仿宋_GB2312" w:eastAsia="仿宋_GB2312" w:cs="仿宋_GB2312"/>
          <w:color w:val="000000"/>
          <w:spacing w:val="0"/>
          <w:position w:val="0"/>
          <w:sz w:val="32"/>
          <w:shd w:val="clear" w:fill="auto"/>
        </w:rPr>
        <w:t xml:space="preserve">   </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七、工资福利支出：反映单位开支的在职职工和编制外长期聘用人员的各类劳动报酬，以及为上述人员缴纳的各项社会保险费等。</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八、对个人和家庭的补助支出：反映政府用于对个人和家庭的补助支出，包括离休费、退休费、退职（役）费、抚恤金、生活补助、救济费、医疗费补助、助学金、独生子女奖励金、其他等。</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十、项目支出：指各部门、各单位为完成其特定的工作任务和事业发展目标所发生的支出。</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宋体" w:hAnsi="宋体" w:eastAsia="宋体" w:cs="宋体"/>
          <w:color w:val="000000"/>
          <w:spacing w:val="0"/>
          <w:position w:val="0"/>
          <w:sz w:val="32"/>
          <w:shd w:val="clear" w:fill="auto"/>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before="0" w:after="0" w:line="240" w:lineRule="auto"/>
        <w:ind w:left="0" w:right="0" w:firstLine="0"/>
        <w:jc w:val="both"/>
        <w:rPr>
          <w:rFonts w:ascii="Calibri" w:hAnsi="Calibri" w:eastAsia="Calibri" w:cs="Calibri"/>
          <w:color w:val="auto"/>
          <w:spacing w:val="0"/>
          <w:position w:val="0"/>
          <w:sz w:val="21"/>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4CC5D"/>
    <w:multiLevelType w:val="singleLevel"/>
    <w:tmpl w:val="C884CC5D"/>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1YWJiM2U1OTkyZmZhZmZhNzFiMTJiNzRmYjZjMjMifQ=="/>
  </w:docVars>
  <w:rsids>
    <w:rsidRoot w:val="00000000"/>
    <w:rsid w:val="0364669E"/>
    <w:rsid w:val="04FC088E"/>
    <w:rsid w:val="09970B85"/>
    <w:rsid w:val="09DA6CC4"/>
    <w:rsid w:val="0DED5218"/>
    <w:rsid w:val="0E484B44"/>
    <w:rsid w:val="10F66AD9"/>
    <w:rsid w:val="158F12AA"/>
    <w:rsid w:val="17D15BAA"/>
    <w:rsid w:val="184E71FB"/>
    <w:rsid w:val="18FE477D"/>
    <w:rsid w:val="1BB11F7A"/>
    <w:rsid w:val="200D7BFD"/>
    <w:rsid w:val="20E06E5E"/>
    <w:rsid w:val="23FE1AD5"/>
    <w:rsid w:val="24253506"/>
    <w:rsid w:val="25916979"/>
    <w:rsid w:val="2C33078A"/>
    <w:rsid w:val="2D4D13D7"/>
    <w:rsid w:val="2D5E17C3"/>
    <w:rsid w:val="2F511653"/>
    <w:rsid w:val="2FDD7082"/>
    <w:rsid w:val="313A52CB"/>
    <w:rsid w:val="33F24A86"/>
    <w:rsid w:val="36F54FB9"/>
    <w:rsid w:val="3AF235BE"/>
    <w:rsid w:val="3B213C84"/>
    <w:rsid w:val="3F7D78FA"/>
    <w:rsid w:val="458D0AB3"/>
    <w:rsid w:val="46A15456"/>
    <w:rsid w:val="49861AA1"/>
    <w:rsid w:val="4A3B6D2F"/>
    <w:rsid w:val="4F7F76BE"/>
    <w:rsid w:val="502F2E92"/>
    <w:rsid w:val="537E0B4F"/>
    <w:rsid w:val="56D93B58"/>
    <w:rsid w:val="59407EBE"/>
    <w:rsid w:val="6037544B"/>
    <w:rsid w:val="60E43825"/>
    <w:rsid w:val="61502C69"/>
    <w:rsid w:val="638B442C"/>
    <w:rsid w:val="64BE25DF"/>
    <w:rsid w:val="681E586F"/>
    <w:rsid w:val="69083E29"/>
    <w:rsid w:val="6D303C07"/>
    <w:rsid w:val="6E6B2E90"/>
    <w:rsid w:val="6F9D176F"/>
    <w:rsid w:val="72062ED0"/>
    <w:rsid w:val="74485D12"/>
    <w:rsid w:val="7C5533D1"/>
    <w:rsid w:val="7C75137E"/>
    <w:rsid w:val="7DCE343B"/>
    <w:rsid w:val="7E062BD5"/>
    <w:rsid w:val="7EF23159"/>
    <w:rsid w:val="7F207C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customStyle="1" w:styleId="5">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3186</Words>
  <Characters>3463</Characters>
  <TotalTime>0</TotalTime>
  <ScaleCrop>false</ScaleCrop>
  <LinksUpToDate>false</LinksUpToDate>
  <CharactersWithSpaces>3484</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2022-04-11T09:14:00Z</dcterms:created>
  <dc:creator>Administrator</dc:creator>
  <cp:lastModifiedBy>%F0%9F%92%9ESunSHine%F0%9F%92%9E</cp:lastModifiedBy>
  <dcterms:modified xsi:type="dcterms:W3CDTF">2023-09-27T07:28:19Z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4C4C503BCCD74051888FF5EEEE18601D_13</vt:lpwstr>
  </property>
</Properties>
</file>