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0" w:firstLineChars="400"/>
        <w:jc w:val="both"/>
        <w:rPr>
          <w:rFonts w:hint="eastAsia" w:ascii="黑体" w:hAnsi="黑体" w:eastAsia="黑体"/>
          <w:b/>
          <w:sz w:val="48"/>
          <w:szCs w:val="48"/>
        </w:rPr>
      </w:pPr>
      <w:bookmarkStart w:id="60" w:name="_GoBack"/>
      <w:bookmarkEnd w:id="60"/>
    </w:p>
    <w:p>
      <w:pPr>
        <w:ind w:firstLine="1920" w:firstLineChars="400"/>
        <w:jc w:val="both"/>
        <w:rPr>
          <w:rFonts w:ascii="黑体" w:hAnsi="黑体" w:eastAsia="黑体"/>
          <w:b/>
          <w:sz w:val="48"/>
          <w:szCs w:val="48"/>
        </w:rPr>
      </w:pPr>
      <w:r>
        <w:rPr>
          <w:rFonts w:hint="eastAsia" w:ascii="黑体" w:hAnsi="黑体" w:eastAsia="黑体"/>
          <w:b/>
          <w:sz w:val="48"/>
          <w:szCs w:val="48"/>
        </w:rPr>
        <w:t>海南省烟花爆竹生产安全</w:t>
      </w:r>
    </w:p>
    <w:p>
      <w:pPr>
        <w:ind w:firstLine="0" w:firstLineChars="0"/>
        <w:jc w:val="center"/>
        <w:rPr>
          <w:rFonts w:ascii="黑体" w:hAnsi="黑体" w:eastAsia="黑体"/>
          <w:b/>
          <w:sz w:val="48"/>
          <w:szCs w:val="48"/>
        </w:rPr>
      </w:pPr>
      <w:r>
        <w:rPr>
          <w:rFonts w:hint="eastAsia" w:ascii="黑体" w:hAnsi="黑体" w:eastAsia="黑体"/>
          <w:b/>
          <w:sz w:val="48"/>
          <w:szCs w:val="48"/>
          <w:lang w:val="en-US" w:eastAsia="zh-CN"/>
        </w:rPr>
        <w:t xml:space="preserve">  </w:t>
      </w:r>
      <w:r>
        <w:rPr>
          <w:rFonts w:hint="eastAsia" w:ascii="黑体" w:hAnsi="黑体" w:eastAsia="黑体"/>
          <w:b/>
          <w:sz w:val="48"/>
          <w:szCs w:val="48"/>
        </w:rPr>
        <w:t>事故应急预案</w:t>
      </w:r>
    </w:p>
    <w:p/>
    <w:p>
      <w:pPr>
        <w:ind w:firstLine="0" w:firstLineChars="0"/>
        <w:jc w:val="center"/>
        <w:rPr>
          <w:rFonts w:ascii="楷体" w:hAnsi="楷体" w:eastAsia="楷体"/>
          <w:sz w:val="36"/>
          <w:szCs w:val="36"/>
        </w:rPr>
      </w:pPr>
      <w:r>
        <w:rPr>
          <w:rFonts w:hint="eastAsia" w:ascii="楷体" w:hAnsi="楷体" w:eastAsia="楷体"/>
          <w:sz w:val="36"/>
          <w:szCs w:val="36"/>
        </w:rPr>
        <w:t>（2</w:t>
      </w:r>
      <w:r>
        <w:rPr>
          <w:rFonts w:ascii="楷体" w:hAnsi="楷体" w:eastAsia="楷体"/>
          <w:sz w:val="36"/>
          <w:szCs w:val="36"/>
        </w:rPr>
        <w:t>02</w:t>
      </w:r>
      <w:r>
        <w:rPr>
          <w:rFonts w:hint="eastAsia" w:ascii="楷体" w:hAnsi="楷体" w:eastAsia="楷体"/>
          <w:sz w:val="36"/>
          <w:szCs w:val="36"/>
        </w:rPr>
        <w:t>0年修订）</w:t>
      </w:r>
    </w:p>
    <w:p>
      <w:r>
        <w:rPr>
          <w:rFonts w:hint="eastAsia"/>
        </w:rPr>
        <w:t xml:space="preserve"> </w:t>
      </w:r>
      <w:r>
        <w:t xml:space="preserve">                </w:t>
      </w:r>
      <w:r>
        <w:rPr>
          <w:rFonts w:ascii="楷体" w:hAnsi="楷体" w:eastAsia="楷体"/>
          <w:sz w:val="36"/>
          <w:szCs w:val="36"/>
        </w:rPr>
        <w:t xml:space="preserve">  </w:t>
      </w:r>
    </w:p>
    <w:p/>
    <w:p/>
    <w:p/>
    <w:p/>
    <w:p/>
    <w:p/>
    <w:p/>
    <w:p/>
    <w:p/>
    <w:p/>
    <w:p/>
    <w:p/>
    <w:p>
      <w:pPr>
        <w:ind w:firstLine="0" w:firstLineChars="0"/>
        <w:jc w:val="center"/>
        <w:rPr>
          <w:b/>
        </w:rPr>
      </w:pPr>
      <w:r>
        <w:rPr>
          <w:rFonts w:hint="eastAsia"/>
          <w:b/>
        </w:rPr>
        <w:t>省安全生产委员会办公室</w:t>
      </w:r>
    </w:p>
    <w:p>
      <w:pPr>
        <w:ind w:firstLine="0" w:firstLineChars="0"/>
        <w:jc w:val="center"/>
        <w:rPr>
          <w:rFonts w:ascii="楷体" w:hAnsi="楷体" w:eastAsia="楷体"/>
        </w:rPr>
      </w:pPr>
      <w:r>
        <w:rPr>
          <w:rFonts w:hint="eastAsia" w:ascii="楷体" w:hAnsi="楷体" w:eastAsia="楷体"/>
          <w:bCs/>
        </w:rPr>
        <w:t>二0二一</w:t>
      </w:r>
      <w:r>
        <w:rPr>
          <w:rFonts w:ascii="楷体" w:hAnsi="楷体" w:eastAsia="楷体"/>
          <w:bCs/>
        </w:rPr>
        <w:t>年</w:t>
      </w:r>
      <w:r>
        <w:rPr>
          <w:rFonts w:hint="eastAsia" w:ascii="楷体" w:hAnsi="楷体" w:eastAsia="楷体"/>
          <w:bCs/>
        </w:rPr>
        <w:t>十</w:t>
      </w:r>
      <w:r>
        <w:rPr>
          <w:rFonts w:hint="eastAsia" w:ascii="楷体" w:hAnsi="楷体" w:eastAsia="楷体"/>
          <w:bCs/>
          <w:lang w:eastAsia="zh-CN"/>
        </w:rPr>
        <w:t>二</w:t>
      </w:r>
      <w:r>
        <w:rPr>
          <w:rFonts w:ascii="楷体" w:hAnsi="楷体" w:eastAsia="楷体"/>
          <w:bCs/>
        </w:rPr>
        <w:t>月</w:t>
      </w:r>
    </w:p>
    <w:p/>
    <w:p>
      <w:pPr>
        <w:sectPr>
          <w:headerReference r:id="rId5" w:type="default"/>
          <w:footerReference r:id="rId6" w:type="default"/>
          <w:pgSz w:w="11906" w:h="16838"/>
          <w:pgMar w:top="1701" w:right="1474" w:bottom="1134" w:left="1588" w:header="851" w:footer="992" w:gutter="0"/>
          <w:pgNumType w:fmt="numberInDash"/>
          <w:cols w:space="425" w:num="1"/>
          <w:docGrid w:type="linesAndChars" w:linePitch="312" w:charSpace="0"/>
        </w:sectPr>
      </w:pPr>
    </w:p>
    <w:tbl>
      <w:tblPr>
        <w:tblStyle w:val="3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5093"/>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647" w:type="dxa"/>
            <w:gridSpan w:val="3"/>
            <w:tcBorders>
              <w:top w:val="thickThinSmallGap" w:color="auto" w:sz="24" w:space="0"/>
              <w:left w:val="thickThinSmallGap" w:color="auto" w:sz="24" w:space="0"/>
              <w:bottom w:val="single" w:color="auto" w:sz="4" w:space="0"/>
              <w:right w:val="thinThickSmallGap" w:color="auto" w:sz="24" w:space="0"/>
            </w:tcBorders>
            <w:vAlign w:val="center"/>
          </w:tcPr>
          <w:p>
            <w:pPr>
              <w:spacing w:line="240" w:lineRule="auto"/>
              <w:ind w:firstLine="0" w:firstLineChars="0"/>
              <w:jc w:val="center"/>
              <w:rPr>
                <w:b/>
                <w:sz w:val="21"/>
                <w:szCs w:val="21"/>
              </w:rPr>
            </w:pPr>
            <w:r>
              <w:rPr>
                <w:rFonts w:hint="eastAsia"/>
                <w:b/>
                <w:sz w:val="21"/>
                <w:szCs w:val="21"/>
              </w:rPr>
              <w:t>海南省部门（单位）简称（只适用于本预案）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b/>
                <w:sz w:val="21"/>
                <w:szCs w:val="21"/>
              </w:rPr>
            </w:pPr>
            <w:r>
              <w:rPr>
                <w:rFonts w:hint="eastAsia"/>
                <w:b/>
                <w:sz w:val="21"/>
                <w:szCs w:val="21"/>
              </w:rPr>
              <w:t>序号</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sz w:val="21"/>
                <w:szCs w:val="21"/>
              </w:rPr>
            </w:pPr>
            <w:r>
              <w:rPr>
                <w:rFonts w:hint="eastAsia"/>
                <w:b/>
                <w:sz w:val="21"/>
                <w:szCs w:val="21"/>
              </w:rPr>
              <w:t>部门（单位）名称</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jc w:val="center"/>
              <w:rPr>
                <w:b/>
                <w:sz w:val="21"/>
                <w:szCs w:val="21"/>
              </w:rPr>
            </w:pPr>
            <w:r>
              <w:rPr>
                <w:rFonts w:hint="eastAsia"/>
                <w:b/>
                <w:sz w:val="21"/>
                <w:szCs w:val="21"/>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海南省人民政府办公厅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省人民政府办公厅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中共海南省委宣传部</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中共海南省委网络安全和信息化委员会办公室</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海南省发展和改革委员会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海南省旅游和文化广电体育厅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省旅文厅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海南省农业农村厅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海南省工业和信息化厅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省工信厅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海南省财政厅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海南省人力资源和社会保障厅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海南省教育厅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海南省卫生健康委员会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海南省公安厅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海南省司法厅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海南省自然资源和规划厅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省资规厅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海南省生态环境厅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海南省住房和城乡建设厅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海南省交通运输厅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海南省商务厅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海南省科学技术厅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海南省民政厅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海南省水务厅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省水务厅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海南省应急管理厅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省应急厅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海南省林业局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海南省政府国有资产监督管理委员会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海南省市场监督管理局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海南省气象局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海南省地震局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中华人民共和国海南海事局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中国民用航空海南安全监督管理局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民航海南安监局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海南省通信管理局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省通管局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海南省大数据管理局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海南省邮政管理局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中国银行保险监督管理委员会海南监管局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海南省总工会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中国人民武装警察部队海南省总队</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武警海南总队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海南省消防救援总队</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中华人民共和国海口海关</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海口海关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南方能监局海南业务办公室</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南方能监局海南业务办公室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广州铁路监督管理局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广州铁路监督管理局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海南电网有限责任公司</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海南电网公司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672" w:type="dxa"/>
            <w:tcBorders>
              <w:top w:val="single" w:color="auto" w:sz="4" w:space="0"/>
              <w:left w:val="thickThinSmallGap" w:color="auto" w:sz="24" w:space="0"/>
              <w:bottom w:val="thinThickSmallGap" w:color="auto" w:sz="24" w:space="0"/>
              <w:right w:val="single" w:color="auto" w:sz="4" w:space="0"/>
            </w:tcBorders>
            <w:vAlign w:val="center"/>
          </w:tcPr>
          <w:p>
            <w:pPr>
              <w:spacing w:line="240" w:lineRule="auto"/>
              <w:ind w:firstLine="0" w:firstLineChars="0"/>
              <w:jc w:val="center"/>
              <w:rPr>
                <w:sz w:val="21"/>
                <w:szCs w:val="21"/>
              </w:rPr>
            </w:pPr>
            <w:r>
              <w:rPr>
                <w:rFonts w:hint="eastAsia"/>
                <w:sz w:val="21"/>
                <w:szCs w:val="21"/>
              </w:rPr>
              <w:t>41</w:t>
            </w:r>
          </w:p>
        </w:tc>
        <w:tc>
          <w:tcPr>
            <w:tcW w:w="5093" w:type="dxa"/>
            <w:tcBorders>
              <w:top w:val="single" w:color="auto" w:sz="4" w:space="0"/>
              <w:left w:val="single" w:color="auto" w:sz="4" w:space="0"/>
              <w:bottom w:val="thinThickSmallGap" w:color="auto" w:sz="24" w:space="0"/>
              <w:right w:val="single" w:color="auto" w:sz="4" w:space="0"/>
            </w:tcBorders>
            <w:vAlign w:val="center"/>
          </w:tcPr>
          <w:p>
            <w:pPr>
              <w:spacing w:line="240" w:lineRule="auto"/>
              <w:ind w:firstLine="0" w:firstLineChars="0"/>
              <w:rPr>
                <w:sz w:val="21"/>
                <w:szCs w:val="21"/>
              </w:rPr>
            </w:pPr>
            <w:r>
              <w:rPr>
                <w:rFonts w:hint="eastAsia"/>
                <w:sz w:val="21"/>
                <w:szCs w:val="21"/>
              </w:rPr>
              <w:t>海南铁路有限公司</w:t>
            </w:r>
          </w:p>
        </w:tc>
        <w:tc>
          <w:tcPr>
            <w:tcW w:w="2882" w:type="dxa"/>
            <w:tcBorders>
              <w:top w:val="single" w:color="auto" w:sz="4" w:space="0"/>
              <w:left w:val="single" w:color="auto" w:sz="4" w:space="0"/>
              <w:bottom w:val="thinThickSmallGap" w:color="auto" w:sz="2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海南铁路有限公司</w:t>
            </w:r>
          </w:p>
        </w:tc>
      </w:tr>
    </w:tbl>
    <w:p>
      <w:pPr>
        <w:sectPr>
          <w:headerReference r:id="rId7" w:type="default"/>
          <w:pgSz w:w="11906" w:h="16838"/>
          <w:pgMar w:top="720" w:right="720" w:bottom="720" w:left="720" w:header="0" w:footer="0" w:gutter="0"/>
          <w:pgNumType w:fmt="numberInDash"/>
          <w:cols w:space="425" w:num="1"/>
          <w:docGrid w:type="linesAndChars" w:linePitch="326" w:charSpace="0"/>
        </w:sectPr>
      </w:pPr>
    </w:p>
    <w:p>
      <w:pPr>
        <w:pStyle w:val="45"/>
        <w:jc w:val="center"/>
        <w:rPr>
          <w:color w:val="auto"/>
        </w:rPr>
      </w:pPr>
      <w:r>
        <w:rPr>
          <w:color w:val="auto"/>
          <w:lang w:val="zh-CN"/>
        </w:rPr>
        <w:t>目</w:t>
      </w:r>
      <w:r>
        <w:rPr>
          <w:rFonts w:hint="eastAsia"/>
          <w:color w:val="auto"/>
          <w:lang w:val="zh-CN"/>
        </w:rPr>
        <w:t xml:space="preserve">  </w:t>
      </w:r>
      <w:r>
        <w:rPr>
          <w:color w:val="auto"/>
          <w:lang w:val="zh-CN"/>
        </w:rPr>
        <w:t>录</w:t>
      </w:r>
    </w:p>
    <w:p>
      <w:pPr>
        <w:pStyle w:val="22"/>
        <w:tabs>
          <w:tab w:val="right" w:leader="dot" w:pos="8834"/>
        </w:tabs>
        <w:spacing w:line="360" w:lineRule="auto"/>
        <w:ind w:firstLine="0" w:firstLineChars="0"/>
        <w:rPr>
          <w:rFonts w:ascii="仿宋" w:hAnsi="仿宋"/>
          <w:b w:val="0"/>
          <w:bCs w:val="0"/>
          <w:caps w:val="0"/>
          <w:sz w:val="28"/>
          <w:szCs w:val="28"/>
        </w:rPr>
      </w:pPr>
      <w:r>
        <w:rPr>
          <w:rFonts w:ascii="仿宋" w:hAnsi="仿宋"/>
          <w:sz w:val="28"/>
          <w:szCs w:val="28"/>
        </w:rPr>
        <w:fldChar w:fldCharType="begin"/>
      </w:r>
      <w:r>
        <w:rPr>
          <w:rFonts w:ascii="仿宋" w:hAnsi="仿宋"/>
          <w:sz w:val="28"/>
          <w:szCs w:val="28"/>
        </w:rPr>
        <w:instrText xml:space="preserve"> TOC \o "1-4" \h \z \u </w:instrText>
      </w:r>
      <w:r>
        <w:rPr>
          <w:rFonts w:ascii="仿宋" w:hAnsi="仿宋"/>
          <w:sz w:val="28"/>
          <w:szCs w:val="28"/>
        </w:rPr>
        <w:fldChar w:fldCharType="separate"/>
      </w:r>
      <w:r>
        <w:fldChar w:fldCharType="begin"/>
      </w:r>
      <w:r>
        <w:instrText xml:space="preserve"> HYPERLINK \l "_Toc89418885" </w:instrText>
      </w:r>
      <w:r>
        <w:fldChar w:fldCharType="separate"/>
      </w:r>
      <w:r>
        <w:rPr>
          <w:rStyle w:val="38"/>
          <w:rFonts w:ascii="仿宋" w:hAnsi="仿宋"/>
          <w:sz w:val="28"/>
          <w:szCs w:val="28"/>
        </w:rPr>
        <w:t xml:space="preserve">1 </w:t>
      </w:r>
      <w:r>
        <w:rPr>
          <w:rStyle w:val="38"/>
          <w:rFonts w:hint="eastAsia" w:ascii="仿宋" w:hAnsi="仿宋"/>
          <w:sz w:val="28"/>
          <w:szCs w:val="28"/>
        </w:rPr>
        <w:t>总</w:t>
      </w:r>
      <w:r>
        <w:rPr>
          <w:rStyle w:val="38"/>
          <w:rFonts w:ascii="仿宋" w:hAnsi="仿宋"/>
          <w:sz w:val="28"/>
          <w:szCs w:val="28"/>
        </w:rPr>
        <w:t xml:space="preserve">  </w:t>
      </w:r>
      <w:r>
        <w:rPr>
          <w:rStyle w:val="38"/>
          <w:rFonts w:hint="eastAsia" w:ascii="仿宋" w:hAnsi="仿宋"/>
          <w:sz w:val="28"/>
          <w:szCs w:val="28"/>
        </w:rPr>
        <w:t>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_Toc89418885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"_Toc89418886" </w:instrText>
      </w:r>
      <w:r>
        <w:fldChar w:fldCharType="separate"/>
      </w:r>
      <w:r>
        <w:rPr>
          <w:rStyle w:val="38"/>
          <w:rFonts w:ascii="仿宋" w:hAnsi="仿宋"/>
          <w:sz w:val="28"/>
          <w:szCs w:val="28"/>
        </w:rPr>
        <w:t xml:space="preserve">1.1 </w:t>
      </w:r>
      <w:r>
        <w:rPr>
          <w:rStyle w:val="38"/>
          <w:rFonts w:hint="eastAsia" w:ascii="仿宋" w:hAnsi="仿宋"/>
          <w:sz w:val="28"/>
          <w:szCs w:val="28"/>
        </w:rPr>
        <w:t>编制目的</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_Toc89418886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"_Toc89418887" </w:instrText>
      </w:r>
      <w:r>
        <w:fldChar w:fldCharType="separate"/>
      </w:r>
      <w:r>
        <w:rPr>
          <w:rStyle w:val="38"/>
          <w:rFonts w:ascii="仿宋" w:hAnsi="仿宋"/>
          <w:sz w:val="28"/>
          <w:szCs w:val="28"/>
        </w:rPr>
        <w:t xml:space="preserve">1.2 </w:t>
      </w:r>
      <w:r>
        <w:rPr>
          <w:rStyle w:val="38"/>
          <w:rFonts w:hint="eastAsia" w:ascii="仿宋" w:hAnsi="仿宋"/>
          <w:sz w:val="28"/>
          <w:szCs w:val="28"/>
        </w:rPr>
        <w:t>工作原则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_Toc89418887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"_Toc89418888" </w:instrText>
      </w:r>
      <w:r>
        <w:fldChar w:fldCharType="separate"/>
      </w:r>
      <w:r>
        <w:rPr>
          <w:rStyle w:val="38"/>
          <w:rFonts w:ascii="仿宋" w:hAnsi="仿宋"/>
          <w:sz w:val="28"/>
          <w:szCs w:val="28"/>
        </w:rPr>
        <w:t xml:space="preserve">1.3 </w:t>
      </w:r>
      <w:r>
        <w:rPr>
          <w:rStyle w:val="38"/>
          <w:rFonts w:hint="eastAsia" w:ascii="仿宋" w:hAnsi="仿宋"/>
          <w:sz w:val="28"/>
          <w:szCs w:val="28"/>
        </w:rPr>
        <w:t>编制依据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_Toc89418888 \h </w:instrText>
      </w:r>
      <w:r>
        <w:rPr>
          <w:rFonts w:ascii="仿宋" w:hAnsi="仿宋"/>
          <w:sz w:val="28"/>
          <w:szCs w:val="28"/>
        </w:rPr>
        <w:fldChar w:fldCharType="separate"/>
      </w:r>
      <w:r>
        <w:rPr>
          <w:rFonts w:ascii="仿宋" w:hAnsi="仿宋"/>
          <w:sz w:val="28"/>
          <w:szCs w:val="28"/>
        </w:rPr>
        <w:t>- 2 -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"_Toc89418889" </w:instrText>
      </w:r>
      <w:r>
        <w:fldChar w:fldCharType="separate"/>
      </w:r>
      <w:r>
        <w:rPr>
          <w:rStyle w:val="38"/>
          <w:rFonts w:ascii="仿宋" w:hAnsi="仿宋"/>
          <w:sz w:val="28"/>
          <w:szCs w:val="28"/>
        </w:rPr>
        <w:t xml:space="preserve">1.4 </w:t>
      </w:r>
      <w:r>
        <w:rPr>
          <w:rStyle w:val="38"/>
          <w:rFonts w:hint="eastAsia" w:ascii="仿宋" w:hAnsi="仿宋"/>
          <w:sz w:val="28"/>
          <w:szCs w:val="28"/>
        </w:rPr>
        <w:t>适用范围</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_Toc89418889 \h </w:instrText>
      </w:r>
      <w:r>
        <w:rPr>
          <w:rFonts w:ascii="仿宋" w:hAnsi="仿宋"/>
          <w:sz w:val="28"/>
          <w:szCs w:val="28"/>
        </w:rPr>
        <w:fldChar w:fldCharType="separate"/>
      </w:r>
      <w:r>
        <w:rPr>
          <w:rFonts w:ascii="仿宋" w:hAnsi="仿宋"/>
          <w:sz w:val="28"/>
          <w:szCs w:val="28"/>
        </w:rPr>
        <w:t>- 3 -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"_Toc89418890" </w:instrText>
      </w:r>
      <w:r>
        <w:fldChar w:fldCharType="separate"/>
      </w:r>
      <w:r>
        <w:rPr>
          <w:rStyle w:val="38"/>
          <w:rFonts w:ascii="仿宋" w:hAnsi="仿宋"/>
          <w:sz w:val="28"/>
          <w:szCs w:val="28"/>
        </w:rPr>
        <w:t xml:space="preserve">2 </w:t>
      </w:r>
      <w:r>
        <w:rPr>
          <w:rStyle w:val="38"/>
          <w:rFonts w:hint="eastAsia" w:ascii="仿宋" w:hAnsi="仿宋"/>
          <w:sz w:val="28"/>
          <w:szCs w:val="28"/>
        </w:rPr>
        <w:t>危险性分析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_Toc89418890 \h </w:instrText>
      </w:r>
      <w:r>
        <w:rPr>
          <w:rFonts w:ascii="仿宋" w:hAnsi="仿宋"/>
          <w:sz w:val="28"/>
          <w:szCs w:val="28"/>
        </w:rPr>
        <w:fldChar w:fldCharType="separate"/>
      </w:r>
      <w:r>
        <w:rPr>
          <w:rFonts w:ascii="仿宋" w:hAnsi="仿宋"/>
          <w:sz w:val="28"/>
          <w:szCs w:val="28"/>
        </w:rPr>
        <w:t>- 3 -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"_Toc89418891" </w:instrText>
      </w:r>
      <w:r>
        <w:fldChar w:fldCharType="separate"/>
      </w:r>
      <w:r>
        <w:rPr>
          <w:rStyle w:val="38"/>
          <w:rFonts w:ascii="仿宋" w:hAnsi="仿宋"/>
          <w:sz w:val="28"/>
          <w:szCs w:val="28"/>
        </w:rPr>
        <w:t xml:space="preserve">2.1 </w:t>
      </w:r>
      <w:r>
        <w:rPr>
          <w:rStyle w:val="38"/>
          <w:rFonts w:hint="eastAsia" w:ascii="仿宋" w:hAnsi="仿宋"/>
          <w:sz w:val="28"/>
          <w:szCs w:val="28"/>
        </w:rPr>
        <w:t>基本现状</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_Toc89418891 \h </w:instrText>
      </w:r>
      <w:r>
        <w:rPr>
          <w:rFonts w:ascii="仿宋" w:hAnsi="仿宋"/>
          <w:sz w:val="28"/>
          <w:szCs w:val="28"/>
        </w:rPr>
        <w:fldChar w:fldCharType="separate"/>
      </w:r>
      <w:r>
        <w:rPr>
          <w:rFonts w:ascii="仿宋" w:hAnsi="仿宋"/>
          <w:sz w:val="28"/>
          <w:szCs w:val="28"/>
        </w:rPr>
        <w:t>- 3 -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"_Toc89418892" </w:instrText>
      </w:r>
      <w:r>
        <w:fldChar w:fldCharType="separate"/>
      </w:r>
      <w:r>
        <w:rPr>
          <w:rStyle w:val="38"/>
          <w:rFonts w:ascii="仿宋" w:hAnsi="仿宋"/>
          <w:sz w:val="28"/>
          <w:szCs w:val="28"/>
        </w:rPr>
        <w:t xml:space="preserve">2.2 </w:t>
      </w:r>
      <w:r>
        <w:rPr>
          <w:rStyle w:val="38"/>
          <w:rFonts w:hint="eastAsia" w:ascii="仿宋" w:hAnsi="仿宋"/>
          <w:sz w:val="28"/>
          <w:szCs w:val="28"/>
        </w:rPr>
        <w:t>风险分析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_Toc89418892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"_Toc89418893" </w:instrText>
      </w:r>
      <w:r>
        <w:fldChar w:fldCharType="separate"/>
      </w:r>
      <w:r>
        <w:rPr>
          <w:rStyle w:val="38"/>
          <w:rFonts w:ascii="仿宋" w:hAnsi="仿宋"/>
          <w:sz w:val="28"/>
          <w:szCs w:val="28"/>
        </w:rPr>
        <w:t xml:space="preserve">3 </w:t>
      </w:r>
      <w:r>
        <w:rPr>
          <w:rStyle w:val="38"/>
          <w:rFonts w:hint="eastAsia" w:ascii="仿宋" w:hAnsi="仿宋"/>
          <w:sz w:val="28"/>
          <w:szCs w:val="28"/>
        </w:rPr>
        <w:t>组织体系及职责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_Toc89418893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"_Toc89418894" </w:instrText>
      </w:r>
      <w:r>
        <w:fldChar w:fldCharType="separate"/>
      </w:r>
      <w:r>
        <w:rPr>
          <w:rStyle w:val="38"/>
          <w:rFonts w:ascii="仿宋" w:hAnsi="仿宋"/>
          <w:sz w:val="28"/>
          <w:szCs w:val="28"/>
        </w:rPr>
        <w:t xml:space="preserve">3.1 </w:t>
      </w:r>
      <w:r>
        <w:rPr>
          <w:rStyle w:val="38"/>
          <w:rFonts w:hint="eastAsia" w:ascii="仿宋" w:hAnsi="仿宋"/>
          <w:sz w:val="28"/>
          <w:szCs w:val="28"/>
        </w:rPr>
        <w:t>应急组织机构</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_Toc89418894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"_Toc89418895" </w:instrText>
      </w:r>
      <w:r>
        <w:fldChar w:fldCharType="separate"/>
      </w:r>
      <w:r>
        <w:rPr>
          <w:rStyle w:val="38"/>
          <w:rFonts w:ascii="仿宋" w:hAnsi="仿宋"/>
          <w:sz w:val="28"/>
          <w:szCs w:val="28"/>
        </w:rPr>
        <w:t xml:space="preserve">3.2 </w:t>
      </w:r>
      <w:r>
        <w:rPr>
          <w:rStyle w:val="38"/>
          <w:rFonts w:hint="eastAsia" w:ascii="仿宋" w:hAnsi="仿宋"/>
          <w:sz w:val="28"/>
          <w:szCs w:val="28"/>
        </w:rPr>
        <w:t>省指挥部</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_Toc89418895 \h </w:instrText>
      </w:r>
      <w:r>
        <w:rPr>
          <w:rFonts w:ascii="仿宋" w:hAnsi="仿宋"/>
          <w:sz w:val="28"/>
          <w:szCs w:val="28"/>
        </w:rPr>
        <w:fldChar w:fldCharType="separate"/>
      </w:r>
      <w:r>
        <w:rPr>
          <w:rFonts w:ascii="仿宋" w:hAnsi="仿宋"/>
          <w:sz w:val="28"/>
          <w:szCs w:val="28"/>
        </w:rPr>
        <w:t>- 6 -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"_Toc89418896" </w:instrText>
      </w:r>
      <w:r>
        <w:fldChar w:fldCharType="separate"/>
      </w:r>
      <w:r>
        <w:rPr>
          <w:rStyle w:val="38"/>
          <w:rFonts w:ascii="仿宋" w:hAnsi="仿宋"/>
          <w:sz w:val="28"/>
          <w:szCs w:val="28"/>
        </w:rPr>
        <w:t xml:space="preserve">3.3 </w:t>
      </w:r>
      <w:r>
        <w:rPr>
          <w:rStyle w:val="38"/>
          <w:rFonts w:hint="eastAsia" w:ascii="仿宋" w:hAnsi="仿宋"/>
          <w:sz w:val="28"/>
          <w:szCs w:val="28"/>
        </w:rPr>
        <w:t>现场指挥部</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_Toc89418896 \h </w:instrText>
      </w:r>
      <w:r>
        <w:rPr>
          <w:rFonts w:ascii="仿宋" w:hAnsi="仿宋"/>
          <w:sz w:val="28"/>
          <w:szCs w:val="28"/>
        </w:rPr>
        <w:fldChar w:fldCharType="separate"/>
      </w:r>
      <w:r>
        <w:rPr>
          <w:rFonts w:ascii="仿宋" w:hAnsi="仿宋"/>
          <w:sz w:val="28"/>
          <w:szCs w:val="28"/>
        </w:rPr>
        <w:t>- 7 -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"_Toc89418897" </w:instrText>
      </w:r>
      <w:r>
        <w:fldChar w:fldCharType="separate"/>
      </w:r>
      <w:r>
        <w:rPr>
          <w:rStyle w:val="38"/>
          <w:rFonts w:ascii="仿宋" w:hAnsi="仿宋"/>
          <w:sz w:val="28"/>
          <w:szCs w:val="28"/>
        </w:rPr>
        <w:t xml:space="preserve">3.4 </w:t>
      </w:r>
      <w:r>
        <w:rPr>
          <w:rStyle w:val="38"/>
          <w:rFonts w:hint="eastAsia" w:ascii="仿宋" w:hAnsi="仿宋"/>
          <w:sz w:val="28"/>
          <w:szCs w:val="28"/>
        </w:rPr>
        <w:t>部门职责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_Toc89418897 \h </w:instrText>
      </w:r>
      <w:r>
        <w:rPr>
          <w:rFonts w:ascii="仿宋" w:hAnsi="仿宋"/>
          <w:sz w:val="28"/>
          <w:szCs w:val="28"/>
        </w:rPr>
        <w:fldChar w:fldCharType="separate"/>
      </w:r>
      <w:r>
        <w:rPr>
          <w:rFonts w:ascii="仿宋" w:hAnsi="仿宋"/>
          <w:sz w:val="28"/>
          <w:szCs w:val="28"/>
        </w:rPr>
        <w:t>- 10 -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"_Toc89418898" </w:instrText>
      </w:r>
      <w:r>
        <w:fldChar w:fldCharType="separate"/>
      </w:r>
      <w:r>
        <w:rPr>
          <w:rStyle w:val="38"/>
          <w:rFonts w:ascii="仿宋" w:hAnsi="仿宋"/>
          <w:sz w:val="28"/>
          <w:szCs w:val="28"/>
        </w:rPr>
        <w:t xml:space="preserve">3.5 </w:t>
      </w:r>
      <w:r>
        <w:rPr>
          <w:rStyle w:val="38"/>
          <w:rFonts w:hint="eastAsia" w:ascii="仿宋" w:hAnsi="仿宋"/>
          <w:sz w:val="28"/>
          <w:szCs w:val="28"/>
        </w:rPr>
        <w:t>专家及职责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_Toc89418898 \h </w:instrText>
      </w:r>
      <w:r>
        <w:rPr>
          <w:rFonts w:ascii="仿宋" w:hAnsi="仿宋"/>
          <w:sz w:val="28"/>
          <w:szCs w:val="28"/>
        </w:rPr>
        <w:fldChar w:fldCharType="separate"/>
      </w:r>
      <w:r>
        <w:rPr>
          <w:rFonts w:ascii="仿宋" w:hAnsi="仿宋"/>
          <w:sz w:val="28"/>
          <w:szCs w:val="28"/>
        </w:rPr>
        <w:t>- 10 -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"_Toc89418899" </w:instrText>
      </w:r>
      <w:r>
        <w:fldChar w:fldCharType="separate"/>
      </w:r>
      <w:r>
        <w:rPr>
          <w:rStyle w:val="38"/>
          <w:rFonts w:ascii="仿宋" w:hAnsi="仿宋"/>
          <w:sz w:val="28"/>
          <w:szCs w:val="28"/>
        </w:rPr>
        <w:t xml:space="preserve">4 </w:t>
      </w:r>
      <w:r>
        <w:rPr>
          <w:rStyle w:val="38"/>
          <w:rFonts w:hint="eastAsia" w:ascii="仿宋" w:hAnsi="仿宋"/>
          <w:sz w:val="28"/>
          <w:szCs w:val="28"/>
        </w:rPr>
        <w:t>监测预警与信息上报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_Toc89418899 \h </w:instrText>
      </w:r>
      <w:r>
        <w:rPr>
          <w:rFonts w:ascii="仿宋" w:hAnsi="仿宋"/>
          <w:sz w:val="28"/>
          <w:szCs w:val="28"/>
        </w:rPr>
        <w:fldChar w:fldCharType="separate"/>
      </w:r>
      <w:r>
        <w:rPr>
          <w:rFonts w:ascii="仿宋" w:hAnsi="仿宋"/>
          <w:sz w:val="28"/>
          <w:szCs w:val="28"/>
        </w:rPr>
        <w:t>- 11 -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"_Toc89418900" </w:instrText>
      </w:r>
      <w:r>
        <w:fldChar w:fldCharType="separate"/>
      </w:r>
      <w:r>
        <w:rPr>
          <w:rStyle w:val="38"/>
          <w:rFonts w:ascii="仿宋" w:hAnsi="仿宋"/>
          <w:sz w:val="28"/>
          <w:szCs w:val="28"/>
        </w:rPr>
        <w:t xml:space="preserve">4.1 </w:t>
      </w:r>
      <w:r>
        <w:rPr>
          <w:rStyle w:val="38"/>
          <w:rFonts w:hint="eastAsia" w:ascii="仿宋" w:hAnsi="仿宋"/>
          <w:sz w:val="28"/>
          <w:szCs w:val="28"/>
        </w:rPr>
        <w:t>监测</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_Toc89418900 \h </w:instrText>
      </w:r>
      <w:r>
        <w:rPr>
          <w:rFonts w:ascii="仿宋" w:hAnsi="仿宋"/>
          <w:sz w:val="28"/>
          <w:szCs w:val="28"/>
        </w:rPr>
        <w:fldChar w:fldCharType="separate"/>
      </w:r>
      <w:r>
        <w:rPr>
          <w:rFonts w:ascii="仿宋" w:hAnsi="仿宋"/>
          <w:sz w:val="28"/>
          <w:szCs w:val="28"/>
        </w:rPr>
        <w:t>- 11 -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"_Toc89418901" </w:instrText>
      </w:r>
      <w:r>
        <w:fldChar w:fldCharType="separate"/>
      </w:r>
      <w:r>
        <w:rPr>
          <w:rStyle w:val="38"/>
          <w:rFonts w:ascii="仿宋" w:hAnsi="仿宋"/>
          <w:sz w:val="28"/>
          <w:szCs w:val="28"/>
        </w:rPr>
        <w:t xml:space="preserve">4.2 </w:t>
      </w:r>
      <w:r>
        <w:rPr>
          <w:rStyle w:val="38"/>
          <w:rFonts w:hint="eastAsia" w:ascii="仿宋" w:hAnsi="仿宋"/>
          <w:sz w:val="28"/>
          <w:szCs w:val="28"/>
        </w:rPr>
        <w:t>预警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_Toc89418901 \h </w:instrText>
      </w:r>
      <w:r>
        <w:rPr>
          <w:rFonts w:ascii="仿宋" w:hAnsi="仿宋"/>
          <w:sz w:val="28"/>
          <w:szCs w:val="28"/>
        </w:rPr>
        <w:fldChar w:fldCharType="separate"/>
      </w:r>
      <w:r>
        <w:rPr>
          <w:rFonts w:ascii="仿宋" w:hAnsi="仿宋"/>
          <w:sz w:val="28"/>
          <w:szCs w:val="28"/>
        </w:rPr>
        <w:t>- 12 -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"_Toc89418902" </w:instrText>
      </w:r>
      <w:r>
        <w:fldChar w:fldCharType="separate"/>
      </w:r>
      <w:r>
        <w:rPr>
          <w:rStyle w:val="38"/>
          <w:rFonts w:ascii="仿宋" w:hAnsi="仿宋"/>
          <w:sz w:val="28"/>
          <w:szCs w:val="28"/>
        </w:rPr>
        <w:t xml:space="preserve">4.3 </w:t>
      </w:r>
      <w:r>
        <w:rPr>
          <w:rStyle w:val="38"/>
          <w:rFonts w:hint="eastAsia" w:ascii="仿宋" w:hAnsi="仿宋"/>
          <w:sz w:val="28"/>
          <w:szCs w:val="28"/>
        </w:rPr>
        <w:t>信息上报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_Toc89418902 \h </w:instrText>
      </w:r>
      <w:r>
        <w:rPr>
          <w:rFonts w:ascii="仿宋" w:hAnsi="仿宋"/>
          <w:sz w:val="28"/>
          <w:szCs w:val="28"/>
        </w:rPr>
        <w:fldChar w:fldCharType="separate"/>
      </w:r>
      <w:r>
        <w:rPr>
          <w:rFonts w:ascii="仿宋" w:hAnsi="仿宋"/>
          <w:sz w:val="28"/>
          <w:szCs w:val="28"/>
        </w:rPr>
        <w:t>- 12 -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"_Toc89418903" </w:instrText>
      </w:r>
      <w:r>
        <w:fldChar w:fldCharType="separate"/>
      </w:r>
      <w:r>
        <w:rPr>
          <w:rStyle w:val="38"/>
          <w:rFonts w:ascii="仿宋" w:hAnsi="仿宋"/>
          <w:sz w:val="28"/>
          <w:szCs w:val="28"/>
        </w:rPr>
        <w:t xml:space="preserve">5 </w:t>
      </w:r>
      <w:r>
        <w:rPr>
          <w:rStyle w:val="38"/>
          <w:rFonts w:hint="eastAsia" w:ascii="仿宋" w:hAnsi="仿宋"/>
          <w:sz w:val="28"/>
          <w:szCs w:val="28"/>
        </w:rPr>
        <w:t>响应程序</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_Toc89418903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"_Toc89418904" </w:instrText>
      </w:r>
      <w:r>
        <w:fldChar w:fldCharType="separate"/>
      </w:r>
      <w:r>
        <w:rPr>
          <w:rStyle w:val="38"/>
          <w:rFonts w:ascii="仿宋" w:hAnsi="仿宋"/>
          <w:sz w:val="28"/>
          <w:szCs w:val="28"/>
        </w:rPr>
        <w:t xml:space="preserve">5.1 </w:t>
      </w:r>
      <w:r>
        <w:rPr>
          <w:rStyle w:val="38"/>
          <w:rFonts w:hint="eastAsia" w:ascii="仿宋" w:hAnsi="仿宋"/>
          <w:sz w:val="28"/>
          <w:szCs w:val="28"/>
        </w:rPr>
        <w:t>事故分级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_Toc89418904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"_Toc89418905" </w:instrText>
      </w:r>
      <w:r>
        <w:fldChar w:fldCharType="separate"/>
      </w:r>
      <w:r>
        <w:rPr>
          <w:rStyle w:val="38"/>
          <w:rFonts w:ascii="仿宋" w:hAnsi="仿宋"/>
          <w:sz w:val="28"/>
          <w:szCs w:val="28"/>
        </w:rPr>
        <w:t xml:space="preserve">5.2 </w:t>
      </w:r>
      <w:r>
        <w:rPr>
          <w:rStyle w:val="38"/>
          <w:rFonts w:hint="eastAsia" w:ascii="仿宋" w:hAnsi="仿宋"/>
          <w:sz w:val="28"/>
          <w:szCs w:val="28"/>
        </w:rPr>
        <w:t>响应分级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_Toc89418905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"_Toc89418906" </w:instrText>
      </w:r>
      <w:r>
        <w:fldChar w:fldCharType="separate"/>
      </w:r>
      <w:r>
        <w:rPr>
          <w:rStyle w:val="38"/>
          <w:rFonts w:ascii="仿宋" w:hAnsi="仿宋"/>
          <w:sz w:val="28"/>
          <w:szCs w:val="28"/>
        </w:rPr>
        <w:t xml:space="preserve">5.3 </w:t>
      </w:r>
      <w:r>
        <w:rPr>
          <w:rStyle w:val="38"/>
          <w:rFonts w:hint="eastAsia" w:ascii="仿宋" w:hAnsi="仿宋"/>
          <w:sz w:val="28"/>
          <w:szCs w:val="28"/>
        </w:rPr>
        <w:t>应急处置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_Toc89418906 \h </w:instrText>
      </w:r>
      <w:r>
        <w:rPr>
          <w:rFonts w:ascii="仿宋" w:hAnsi="仿宋"/>
          <w:sz w:val="28"/>
          <w:szCs w:val="28"/>
        </w:rPr>
        <w:fldChar w:fldCharType="separate"/>
      </w:r>
      <w:r>
        <w:rPr>
          <w:rFonts w:ascii="仿宋" w:hAnsi="仿宋"/>
          <w:sz w:val="28"/>
          <w:szCs w:val="28"/>
        </w:rPr>
        <w:t>- 14 -</w:t>
      </w:r>
      <w:r>
        <w:rPr>
          <w:rFonts w:ascii="仿宋" w:hAnsi="仿宋"/>
          <w:sz w:val="28"/>
          <w:szCs w:val="28"/>
        </w:rPr>
        <w:fldChar w:fldCharType="end"/>
      </w:r>
      <w:r>
        <w:rPr>
          <w:rFonts w:ascii="仿宋" w:hAnsi="仿宋"/>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"_Toc89418907" </w:instrText>
      </w:r>
      <w:r>
        <w:fldChar w:fldCharType="separate"/>
      </w:r>
      <w:r>
        <w:rPr>
          <w:rStyle w:val="38"/>
          <w:rFonts w:ascii="仿宋" w:hAnsi="仿宋"/>
          <w:i w:val="0"/>
          <w:sz w:val="28"/>
          <w:szCs w:val="28"/>
        </w:rPr>
        <w:t xml:space="preserve">5.3.1 </w:t>
      </w:r>
      <w:r>
        <w:rPr>
          <w:rStyle w:val="38"/>
          <w:rFonts w:hint="eastAsia" w:ascii="仿宋" w:hAnsi="仿宋"/>
          <w:i w:val="0"/>
          <w:sz w:val="28"/>
          <w:szCs w:val="28"/>
        </w:rPr>
        <w:t>生产经营单位应急处置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_Toc89418907 \h </w:instrText>
      </w:r>
      <w:r>
        <w:rPr>
          <w:rFonts w:ascii="仿宋" w:hAnsi="仿宋"/>
          <w:i w:val="0"/>
          <w:sz w:val="28"/>
          <w:szCs w:val="28"/>
        </w:rPr>
        <w:fldChar w:fldCharType="separate"/>
      </w:r>
      <w:r>
        <w:rPr>
          <w:rFonts w:ascii="仿宋" w:hAnsi="仿宋"/>
          <w:i w:val="0"/>
          <w:sz w:val="28"/>
          <w:szCs w:val="28"/>
        </w:rPr>
        <w:t>- 14 -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"_Toc89418908" </w:instrText>
      </w:r>
      <w:r>
        <w:fldChar w:fldCharType="separate"/>
      </w:r>
      <w:r>
        <w:rPr>
          <w:rStyle w:val="38"/>
          <w:rFonts w:ascii="仿宋" w:hAnsi="仿宋"/>
          <w:i w:val="0"/>
          <w:sz w:val="28"/>
          <w:szCs w:val="28"/>
        </w:rPr>
        <w:t xml:space="preserve">5.3.2 </w:t>
      </w:r>
      <w:r>
        <w:rPr>
          <w:rStyle w:val="38"/>
          <w:rFonts w:hint="eastAsia" w:ascii="仿宋" w:hAnsi="仿宋"/>
          <w:i w:val="0"/>
          <w:sz w:val="28"/>
          <w:szCs w:val="28"/>
        </w:rPr>
        <w:t>市县人民政府、洋浦经济开发区管委会应急处置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_Toc89418908 \h </w:instrText>
      </w:r>
      <w:r>
        <w:rPr>
          <w:rFonts w:ascii="仿宋" w:hAnsi="仿宋"/>
          <w:i w:val="0"/>
          <w:sz w:val="28"/>
          <w:szCs w:val="28"/>
        </w:rPr>
        <w:fldChar w:fldCharType="separate"/>
      </w:r>
      <w:r>
        <w:rPr>
          <w:rFonts w:ascii="仿宋" w:hAnsi="仿宋"/>
          <w:i w:val="0"/>
          <w:sz w:val="28"/>
          <w:szCs w:val="28"/>
        </w:rPr>
        <w:t>- 14 -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"_Toc89418909" </w:instrText>
      </w:r>
      <w:r>
        <w:fldChar w:fldCharType="separate"/>
      </w:r>
      <w:r>
        <w:rPr>
          <w:rStyle w:val="38"/>
          <w:rFonts w:ascii="仿宋" w:hAnsi="仿宋"/>
          <w:i w:val="0"/>
          <w:sz w:val="28"/>
          <w:szCs w:val="28"/>
        </w:rPr>
        <w:t xml:space="preserve">5.3.3 </w:t>
      </w:r>
      <w:r>
        <w:rPr>
          <w:rStyle w:val="38"/>
          <w:rFonts w:hint="eastAsia" w:ascii="仿宋" w:hAnsi="仿宋"/>
          <w:i w:val="0"/>
          <w:sz w:val="28"/>
          <w:szCs w:val="28"/>
        </w:rPr>
        <w:t>省级应急处置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_Toc89418909 \h </w:instrText>
      </w:r>
      <w:r>
        <w:rPr>
          <w:rFonts w:ascii="仿宋" w:hAnsi="仿宋"/>
          <w:i w:val="0"/>
          <w:sz w:val="28"/>
          <w:szCs w:val="28"/>
        </w:rPr>
        <w:fldChar w:fldCharType="separate"/>
      </w:r>
      <w:r>
        <w:rPr>
          <w:rFonts w:ascii="仿宋" w:hAnsi="仿宋"/>
          <w:i w:val="0"/>
          <w:sz w:val="28"/>
          <w:szCs w:val="28"/>
        </w:rPr>
        <w:t>- 15 -</w:t>
      </w:r>
      <w:r>
        <w:rPr>
          <w:rFonts w:ascii="仿宋" w:hAnsi="仿宋"/>
          <w:i w:val="0"/>
          <w:sz w:val="28"/>
          <w:szCs w:val="28"/>
        </w:rPr>
        <w:fldChar w:fldCharType="end"/>
      </w:r>
      <w:r>
        <w:rPr>
          <w:rFonts w:ascii="仿宋" w:hAnsi="仿宋"/>
          <w:i w:val="0"/>
          <w:sz w:val="28"/>
          <w:szCs w:val="28"/>
        </w:rPr>
        <w:fldChar w:fldCharType="end"/>
      </w:r>
    </w:p>
    <w:p>
      <w:pPr>
        <w:pStyle w:val="23"/>
        <w:tabs>
          <w:tab w:val="right" w:leader="dot" w:pos="8834"/>
        </w:tabs>
        <w:spacing w:line="360" w:lineRule="auto"/>
        <w:ind w:firstLine="0" w:firstLineChars="0"/>
        <w:rPr>
          <w:rFonts w:ascii="仿宋" w:hAnsi="仿宋"/>
          <w:sz w:val="28"/>
          <w:szCs w:val="28"/>
        </w:rPr>
      </w:pPr>
      <w:r>
        <w:fldChar w:fldCharType="begin"/>
      </w:r>
      <w:r>
        <w:instrText xml:space="preserve"> HYPERLINK \l "_Toc89418910" </w:instrText>
      </w:r>
      <w:r>
        <w:fldChar w:fldCharType="separate"/>
      </w:r>
      <w:r>
        <w:rPr>
          <w:rStyle w:val="38"/>
          <w:rFonts w:ascii="仿宋" w:hAnsi="仿宋"/>
          <w:sz w:val="28"/>
          <w:szCs w:val="28"/>
        </w:rPr>
        <w:t xml:space="preserve">5.3.3.1 </w:t>
      </w:r>
      <w:r>
        <w:rPr>
          <w:rStyle w:val="38"/>
          <w:rFonts w:hint="eastAsia" w:ascii="仿宋" w:hAnsi="仿宋"/>
          <w:sz w:val="28"/>
          <w:szCs w:val="28"/>
        </w:rPr>
        <w:t>接警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_Toc89418910 \h </w:instrText>
      </w:r>
      <w:r>
        <w:rPr>
          <w:rFonts w:ascii="仿宋" w:hAnsi="仿宋"/>
          <w:sz w:val="28"/>
          <w:szCs w:val="28"/>
        </w:rPr>
        <w:fldChar w:fldCharType="separate"/>
      </w:r>
      <w:r>
        <w:rPr>
          <w:rFonts w:ascii="仿宋" w:hAnsi="仿宋"/>
          <w:sz w:val="28"/>
          <w:szCs w:val="28"/>
        </w:rPr>
        <w:t>- 15 -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0" w:firstLineChars="0"/>
        <w:rPr>
          <w:rFonts w:ascii="仿宋" w:hAnsi="仿宋"/>
          <w:sz w:val="28"/>
          <w:szCs w:val="28"/>
        </w:rPr>
      </w:pPr>
      <w:r>
        <w:fldChar w:fldCharType="begin"/>
      </w:r>
      <w:r>
        <w:instrText xml:space="preserve"> HYPERLINK \l "_Toc89418911" </w:instrText>
      </w:r>
      <w:r>
        <w:fldChar w:fldCharType="separate"/>
      </w:r>
      <w:r>
        <w:rPr>
          <w:rStyle w:val="38"/>
          <w:rFonts w:ascii="仿宋" w:hAnsi="仿宋"/>
          <w:sz w:val="28"/>
          <w:szCs w:val="28"/>
        </w:rPr>
        <w:t xml:space="preserve">5.3.3.2 </w:t>
      </w:r>
      <w:r>
        <w:rPr>
          <w:rStyle w:val="38"/>
          <w:rFonts w:hint="eastAsia" w:ascii="仿宋" w:hAnsi="仿宋"/>
          <w:sz w:val="28"/>
          <w:szCs w:val="28"/>
        </w:rPr>
        <w:t>事故处置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_Toc89418911 \h </w:instrText>
      </w:r>
      <w:r>
        <w:rPr>
          <w:rFonts w:ascii="仿宋" w:hAnsi="仿宋"/>
          <w:sz w:val="28"/>
          <w:szCs w:val="28"/>
        </w:rPr>
        <w:fldChar w:fldCharType="separate"/>
      </w:r>
      <w:r>
        <w:rPr>
          <w:rFonts w:ascii="仿宋" w:hAnsi="仿宋"/>
          <w:sz w:val="28"/>
          <w:szCs w:val="28"/>
        </w:rPr>
        <w:t>- 15 -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0" w:firstLineChars="0"/>
        <w:rPr>
          <w:rFonts w:ascii="仿宋" w:hAnsi="仿宋"/>
          <w:sz w:val="28"/>
          <w:szCs w:val="28"/>
        </w:rPr>
      </w:pPr>
      <w:r>
        <w:fldChar w:fldCharType="begin"/>
      </w:r>
      <w:r>
        <w:instrText xml:space="preserve"> HYPERLINK \l "_Toc89418912" </w:instrText>
      </w:r>
      <w:r>
        <w:fldChar w:fldCharType="separate"/>
      </w:r>
      <w:r>
        <w:rPr>
          <w:rStyle w:val="38"/>
          <w:rFonts w:ascii="仿宋" w:hAnsi="仿宋"/>
          <w:sz w:val="28"/>
          <w:szCs w:val="28"/>
        </w:rPr>
        <w:t xml:space="preserve">5.3.3.3 </w:t>
      </w:r>
      <w:r>
        <w:rPr>
          <w:rStyle w:val="38"/>
          <w:rFonts w:hint="eastAsia" w:ascii="仿宋" w:hAnsi="仿宋"/>
          <w:sz w:val="28"/>
          <w:szCs w:val="28"/>
        </w:rPr>
        <w:t>响应升级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_Toc89418912 \h </w:instrText>
      </w:r>
      <w:r>
        <w:rPr>
          <w:rFonts w:ascii="仿宋" w:hAnsi="仿宋"/>
          <w:sz w:val="28"/>
          <w:szCs w:val="28"/>
        </w:rPr>
        <w:fldChar w:fldCharType="separate"/>
      </w:r>
      <w:r>
        <w:rPr>
          <w:rFonts w:ascii="仿宋" w:hAnsi="仿宋"/>
          <w:sz w:val="28"/>
          <w:szCs w:val="28"/>
        </w:rPr>
        <w:t>- 16 -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0" w:firstLineChars="0"/>
        <w:rPr>
          <w:rFonts w:ascii="仿宋" w:hAnsi="仿宋"/>
          <w:sz w:val="28"/>
          <w:szCs w:val="28"/>
        </w:rPr>
      </w:pPr>
      <w:r>
        <w:fldChar w:fldCharType="begin"/>
      </w:r>
      <w:r>
        <w:instrText xml:space="preserve"> HYPERLINK \l "_Toc89418913" </w:instrText>
      </w:r>
      <w:r>
        <w:fldChar w:fldCharType="separate"/>
      </w:r>
      <w:r>
        <w:rPr>
          <w:rStyle w:val="38"/>
          <w:rFonts w:ascii="仿宋" w:hAnsi="仿宋"/>
          <w:sz w:val="28"/>
          <w:szCs w:val="28"/>
        </w:rPr>
        <w:t xml:space="preserve">5.3.3.4 </w:t>
      </w:r>
      <w:r>
        <w:rPr>
          <w:rStyle w:val="38"/>
          <w:rFonts w:hint="eastAsia" w:ascii="仿宋" w:hAnsi="仿宋"/>
          <w:sz w:val="28"/>
          <w:szCs w:val="28"/>
        </w:rPr>
        <w:t>信息发布</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_Toc89418913 \h </w:instrText>
      </w:r>
      <w:r>
        <w:rPr>
          <w:rFonts w:ascii="仿宋" w:hAnsi="仿宋"/>
          <w:sz w:val="28"/>
          <w:szCs w:val="28"/>
        </w:rPr>
        <w:fldChar w:fldCharType="separate"/>
      </w:r>
      <w:r>
        <w:rPr>
          <w:rFonts w:ascii="仿宋" w:hAnsi="仿宋"/>
          <w:sz w:val="28"/>
          <w:szCs w:val="28"/>
        </w:rPr>
        <w:t>- 16 -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0" w:firstLineChars="0"/>
        <w:rPr>
          <w:rFonts w:ascii="仿宋" w:hAnsi="仿宋"/>
          <w:sz w:val="28"/>
          <w:szCs w:val="28"/>
        </w:rPr>
      </w:pPr>
      <w:r>
        <w:fldChar w:fldCharType="begin"/>
      </w:r>
      <w:r>
        <w:instrText xml:space="preserve"> HYPERLINK \l "_Toc89418914" </w:instrText>
      </w:r>
      <w:r>
        <w:fldChar w:fldCharType="separate"/>
      </w:r>
      <w:r>
        <w:rPr>
          <w:rStyle w:val="38"/>
          <w:rFonts w:ascii="仿宋" w:hAnsi="仿宋"/>
          <w:sz w:val="28"/>
          <w:szCs w:val="28"/>
        </w:rPr>
        <w:t xml:space="preserve">5.3.3.5 </w:t>
      </w:r>
      <w:r>
        <w:rPr>
          <w:rStyle w:val="38"/>
          <w:rFonts w:hint="eastAsia" w:ascii="仿宋" w:hAnsi="仿宋"/>
          <w:sz w:val="28"/>
          <w:szCs w:val="28"/>
        </w:rPr>
        <w:t>响应降级及结束</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_Toc89418914 \h </w:instrText>
      </w:r>
      <w:r>
        <w:rPr>
          <w:rFonts w:ascii="仿宋" w:hAnsi="仿宋"/>
          <w:sz w:val="28"/>
          <w:szCs w:val="28"/>
        </w:rPr>
        <w:fldChar w:fldCharType="separate"/>
      </w:r>
      <w:r>
        <w:rPr>
          <w:rFonts w:ascii="仿宋" w:hAnsi="仿宋"/>
          <w:sz w:val="28"/>
          <w:szCs w:val="28"/>
        </w:rPr>
        <w:t>- 17 -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"_Toc89418915" </w:instrText>
      </w:r>
      <w:r>
        <w:fldChar w:fldCharType="separate"/>
      </w:r>
      <w:r>
        <w:rPr>
          <w:rStyle w:val="38"/>
          <w:rFonts w:ascii="仿宋" w:hAnsi="仿宋"/>
          <w:sz w:val="28"/>
          <w:szCs w:val="28"/>
        </w:rPr>
        <w:t xml:space="preserve">6 </w:t>
      </w:r>
      <w:r>
        <w:rPr>
          <w:rStyle w:val="38"/>
          <w:rFonts w:hint="eastAsia" w:ascii="仿宋" w:hAnsi="仿宋"/>
          <w:sz w:val="28"/>
          <w:szCs w:val="28"/>
        </w:rPr>
        <w:t>后期处置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_Toc89418915 \h </w:instrText>
      </w:r>
      <w:r>
        <w:rPr>
          <w:rFonts w:ascii="仿宋" w:hAnsi="仿宋"/>
          <w:sz w:val="28"/>
          <w:szCs w:val="28"/>
        </w:rPr>
        <w:fldChar w:fldCharType="separate"/>
      </w:r>
      <w:r>
        <w:rPr>
          <w:rFonts w:ascii="仿宋" w:hAnsi="仿宋"/>
          <w:sz w:val="28"/>
          <w:szCs w:val="28"/>
        </w:rPr>
        <w:t>- 17 -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"_Toc89418916" </w:instrText>
      </w:r>
      <w:r>
        <w:fldChar w:fldCharType="separate"/>
      </w:r>
      <w:r>
        <w:rPr>
          <w:rStyle w:val="38"/>
          <w:rFonts w:ascii="仿宋" w:hAnsi="仿宋"/>
          <w:sz w:val="28"/>
          <w:szCs w:val="28"/>
        </w:rPr>
        <w:t xml:space="preserve">6.1 </w:t>
      </w:r>
      <w:r>
        <w:rPr>
          <w:rStyle w:val="38"/>
          <w:rFonts w:hint="eastAsia" w:ascii="仿宋" w:hAnsi="仿宋"/>
          <w:sz w:val="28"/>
          <w:szCs w:val="28"/>
        </w:rPr>
        <w:t>善后处置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_Toc89418916 \h </w:instrText>
      </w:r>
      <w:r>
        <w:rPr>
          <w:rFonts w:ascii="仿宋" w:hAnsi="仿宋"/>
          <w:sz w:val="28"/>
          <w:szCs w:val="28"/>
        </w:rPr>
        <w:fldChar w:fldCharType="separate"/>
      </w:r>
      <w:r>
        <w:rPr>
          <w:rFonts w:ascii="仿宋" w:hAnsi="仿宋"/>
          <w:sz w:val="28"/>
          <w:szCs w:val="28"/>
        </w:rPr>
        <w:t>- 17 -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"_Toc89418917" </w:instrText>
      </w:r>
      <w:r>
        <w:fldChar w:fldCharType="separate"/>
      </w:r>
      <w:r>
        <w:rPr>
          <w:rStyle w:val="38"/>
          <w:rFonts w:ascii="仿宋" w:hAnsi="仿宋"/>
          <w:sz w:val="28"/>
          <w:szCs w:val="28"/>
        </w:rPr>
        <w:t xml:space="preserve">6.2 </w:t>
      </w:r>
      <w:r>
        <w:rPr>
          <w:rStyle w:val="38"/>
          <w:rFonts w:hint="eastAsia" w:ascii="仿宋" w:hAnsi="仿宋"/>
          <w:sz w:val="28"/>
          <w:szCs w:val="28"/>
        </w:rPr>
        <w:t>事故调查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_Toc89418917 \h </w:instrText>
      </w:r>
      <w:r>
        <w:rPr>
          <w:rFonts w:ascii="仿宋" w:hAnsi="仿宋"/>
          <w:sz w:val="28"/>
          <w:szCs w:val="28"/>
        </w:rPr>
        <w:fldChar w:fldCharType="separate"/>
      </w:r>
      <w:r>
        <w:rPr>
          <w:rFonts w:ascii="仿宋" w:hAnsi="仿宋"/>
          <w:sz w:val="28"/>
          <w:szCs w:val="28"/>
        </w:rPr>
        <w:t>- 18 -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"_Toc89418918" </w:instrText>
      </w:r>
      <w:r>
        <w:fldChar w:fldCharType="separate"/>
      </w:r>
      <w:r>
        <w:rPr>
          <w:rStyle w:val="38"/>
          <w:rFonts w:ascii="仿宋" w:hAnsi="仿宋"/>
          <w:sz w:val="28"/>
          <w:szCs w:val="28"/>
        </w:rPr>
        <w:t xml:space="preserve">6.3 </w:t>
      </w:r>
      <w:r>
        <w:rPr>
          <w:rStyle w:val="38"/>
          <w:rFonts w:hint="eastAsia" w:ascii="仿宋" w:hAnsi="仿宋"/>
          <w:sz w:val="28"/>
          <w:szCs w:val="28"/>
        </w:rPr>
        <w:t>总结评估</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_Toc89418918 \h </w:instrText>
      </w:r>
      <w:r>
        <w:rPr>
          <w:rFonts w:ascii="仿宋" w:hAnsi="仿宋"/>
          <w:sz w:val="28"/>
          <w:szCs w:val="28"/>
        </w:rPr>
        <w:fldChar w:fldCharType="separate"/>
      </w:r>
      <w:r>
        <w:rPr>
          <w:rFonts w:ascii="仿宋" w:hAnsi="仿宋"/>
          <w:sz w:val="28"/>
          <w:szCs w:val="28"/>
        </w:rPr>
        <w:t>- 18 -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"_Toc89418919" </w:instrText>
      </w:r>
      <w:r>
        <w:fldChar w:fldCharType="separate"/>
      </w:r>
      <w:r>
        <w:rPr>
          <w:rStyle w:val="38"/>
          <w:rFonts w:ascii="仿宋" w:hAnsi="仿宋"/>
          <w:sz w:val="28"/>
          <w:szCs w:val="28"/>
        </w:rPr>
        <w:t xml:space="preserve">7 </w:t>
      </w:r>
      <w:r>
        <w:rPr>
          <w:rStyle w:val="38"/>
          <w:rFonts w:hint="eastAsia" w:ascii="仿宋" w:hAnsi="仿宋"/>
          <w:sz w:val="28"/>
          <w:szCs w:val="28"/>
        </w:rPr>
        <w:t>应急保障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_Toc89418919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"_Toc89418920" </w:instrText>
      </w:r>
      <w:r>
        <w:fldChar w:fldCharType="separate"/>
      </w:r>
      <w:r>
        <w:rPr>
          <w:rStyle w:val="38"/>
          <w:rFonts w:ascii="仿宋" w:hAnsi="仿宋"/>
          <w:sz w:val="28"/>
          <w:szCs w:val="28"/>
        </w:rPr>
        <w:t xml:space="preserve">7.1 </w:t>
      </w:r>
      <w:r>
        <w:rPr>
          <w:rStyle w:val="38"/>
          <w:rFonts w:hint="eastAsia" w:ascii="仿宋" w:hAnsi="仿宋"/>
          <w:sz w:val="28"/>
          <w:szCs w:val="28"/>
        </w:rPr>
        <w:t>通信与信息保障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_Toc89418920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"_Toc89418921" </w:instrText>
      </w:r>
      <w:r>
        <w:fldChar w:fldCharType="separate"/>
      </w:r>
      <w:r>
        <w:rPr>
          <w:rStyle w:val="38"/>
          <w:rFonts w:ascii="仿宋" w:hAnsi="仿宋"/>
          <w:sz w:val="28"/>
          <w:szCs w:val="28"/>
        </w:rPr>
        <w:t xml:space="preserve">7.2 </w:t>
      </w:r>
      <w:r>
        <w:rPr>
          <w:rStyle w:val="38"/>
          <w:rFonts w:hint="eastAsia" w:ascii="仿宋" w:hAnsi="仿宋"/>
          <w:sz w:val="28"/>
          <w:szCs w:val="28"/>
        </w:rPr>
        <w:t>应急救援队伍保障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_Toc89418921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"_Toc89418922" </w:instrText>
      </w:r>
      <w:r>
        <w:fldChar w:fldCharType="separate"/>
      </w:r>
      <w:r>
        <w:rPr>
          <w:rStyle w:val="38"/>
          <w:rFonts w:ascii="仿宋" w:hAnsi="仿宋"/>
          <w:sz w:val="28"/>
          <w:szCs w:val="28"/>
        </w:rPr>
        <w:t xml:space="preserve">7.3 </w:t>
      </w:r>
      <w:r>
        <w:rPr>
          <w:rStyle w:val="38"/>
          <w:rFonts w:hint="eastAsia" w:ascii="仿宋" w:hAnsi="仿宋"/>
          <w:sz w:val="28"/>
          <w:szCs w:val="28"/>
        </w:rPr>
        <w:t>应急物资装备保障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_Toc89418922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"_Toc89418923" </w:instrText>
      </w:r>
      <w:r>
        <w:fldChar w:fldCharType="separate"/>
      </w:r>
      <w:r>
        <w:rPr>
          <w:rStyle w:val="38"/>
          <w:rFonts w:ascii="仿宋" w:hAnsi="仿宋"/>
          <w:sz w:val="28"/>
          <w:szCs w:val="28"/>
        </w:rPr>
        <w:t xml:space="preserve">7.4 </w:t>
      </w:r>
      <w:r>
        <w:rPr>
          <w:rStyle w:val="38"/>
          <w:rFonts w:hint="eastAsia" w:ascii="仿宋" w:hAnsi="仿宋"/>
          <w:sz w:val="28"/>
          <w:szCs w:val="28"/>
        </w:rPr>
        <w:t>应急治安和交通保障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_Toc89418923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"_Toc89418924" </w:instrText>
      </w:r>
      <w:r>
        <w:fldChar w:fldCharType="separate"/>
      </w:r>
      <w:r>
        <w:rPr>
          <w:rStyle w:val="38"/>
          <w:rFonts w:ascii="仿宋" w:hAnsi="仿宋"/>
          <w:sz w:val="28"/>
          <w:szCs w:val="28"/>
        </w:rPr>
        <w:t xml:space="preserve">7.5 </w:t>
      </w:r>
      <w:r>
        <w:rPr>
          <w:rStyle w:val="38"/>
          <w:rFonts w:hint="eastAsia" w:ascii="仿宋" w:hAnsi="仿宋"/>
          <w:sz w:val="28"/>
          <w:szCs w:val="28"/>
        </w:rPr>
        <w:t>应急经费保障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_Toc89418924 \h </w:instrText>
      </w:r>
      <w:r>
        <w:rPr>
          <w:rFonts w:ascii="仿宋" w:hAnsi="仿宋"/>
          <w:sz w:val="28"/>
          <w:szCs w:val="28"/>
        </w:rPr>
        <w:fldChar w:fldCharType="separate"/>
      </w:r>
      <w:r>
        <w:rPr>
          <w:rFonts w:ascii="仿宋" w:hAnsi="仿宋"/>
          <w:sz w:val="28"/>
          <w:szCs w:val="28"/>
        </w:rPr>
        <w:t>- 20 -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"_Toc89418925" </w:instrText>
      </w:r>
      <w:r>
        <w:fldChar w:fldCharType="separate"/>
      </w:r>
      <w:r>
        <w:rPr>
          <w:rStyle w:val="38"/>
          <w:rFonts w:ascii="仿宋" w:hAnsi="仿宋"/>
          <w:sz w:val="28"/>
          <w:szCs w:val="28"/>
        </w:rPr>
        <w:t xml:space="preserve">7.6 </w:t>
      </w:r>
      <w:r>
        <w:rPr>
          <w:rStyle w:val="38"/>
          <w:rFonts w:hint="eastAsia" w:ascii="仿宋" w:hAnsi="仿宋"/>
          <w:sz w:val="28"/>
          <w:szCs w:val="28"/>
        </w:rPr>
        <w:t>应急医疗卫生保障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_Toc89418925 \h </w:instrText>
      </w:r>
      <w:r>
        <w:rPr>
          <w:rFonts w:ascii="仿宋" w:hAnsi="仿宋"/>
          <w:sz w:val="28"/>
          <w:szCs w:val="28"/>
        </w:rPr>
        <w:fldChar w:fldCharType="separate"/>
      </w:r>
      <w:r>
        <w:rPr>
          <w:rFonts w:ascii="仿宋" w:hAnsi="仿宋"/>
          <w:sz w:val="28"/>
          <w:szCs w:val="28"/>
        </w:rPr>
        <w:t>- 20 -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"_Toc89418926" </w:instrText>
      </w:r>
      <w:r>
        <w:fldChar w:fldCharType="separate"/>
      </w:r>
      <w:r>
        <w:rPr>
          <w:rStyle w:val="38"/>
          <w:rFonts w:ascii="仿宋" w:hAnsi="仿宋"/>
          <w:sz w:val="28"/>
          <w:szCs w:val="28"/>
        </w:rPr>
        <w:t xml:space="preserve">7.7 </w:t>
      </w:r>
      <w:r>
        <w:rPr>
          <w:rStyle w:val="38"/>
          <w:rFonts w:hint="eastAsia" w:ascii="仿宋" w:hAnsi="仿宋"/>
          <w:sz w:val="28"/>
          <w:szCs w:val="28"/>
        </w:rPr>
        <w:t>法律保障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_Toc89418926 \h </w:instrText>
      </w:r>
      <w:r>
        <w:rPr>
          <w:rFonts w:ascii="仿宋" w:hAnsi="仿宋"/>
          <w:sz w:val="28"/>
          <w:szCs w:val="28"/>
        </w:rPr>
        <w:fldChar w:fldCharType="separate"/>
      </w:r>
      <w:r>
        <w:rPr>
          <w:rFonts w:ascii="仿宋" w:hAnsi="仿宋"/>
          <w:sz w:val="28"/>
          <w:szCs w:val="28"/>
        </w:rPr>
        <w:t>- 20 -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"_Toc89418927" </w:instrText>
      </w:r>
      <w:r>
        <w:fldChar w:fldCharType="separate"/>
      </w:r>
      <w:r>
        <w:rPr>
          <w:rStyle w:val="38"/>
          <w:rFonts w:ascii="仿宋" w:hAnsi="仿宋"/>
          <w:sz w:val="28"/>
          <w:szCs w:val="28"/>
        </w:rPr>
        <w:t xml:space="preserve">7.8 </w:t>
      </w:r>
      <w:r>
        <w:rPr>
          <w:rStyle w:val="38"/>
          <w:rFonts w:hint="eastAsia" w:ascii="仿宋" w:hAnsi="仿宋"/>
          <w:sz w:val="28"/>
          <w:szCs w:val="28"/>
        </w:rPr>
        <w:t>应急避难场所保障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_Toc89418927 \h </w:instrText>
      </w:r>
      <w:r>
        <w:rPr>
          <w:rFonts w:ascii="仿宋" w:hAnsi="仿宋"/>
          <w:sz w:val="28"/>
          <w:szCs w:val="28"/>
        </w:rPr>
        <w:fldChar w:fldCharType="separate"/>
      </w:r>
      <w:r>
        <w:rPr>
          <w:rFonts w:ascii="仿宋" w:hAnsi="仿宋"/>
          <w:sz w:val="28"/>
          <w:szCs w:val="28"/>
        </w:rPr>
        <w:t>- 20 -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"_Toc89418928" </w:instrText>
      </w:r>
      <w:r>
        <w:fldChar w:fldCharType="separate"/>
      </w:r>
      <w:r>
        <w:rPr>
          <w:rStyle w:val="38"/>
          <w:rFonts w:ascii="仿宋" w:hAnsi="仿宋"/>
          <w:sz w:val="28"/>
          <w:szCs w:val="28"/>
        </w:rPr>
        <w:t xml:space="preserve">7.9 </w:t>
      </w:r>
      <w:r>
        <w:rPr>
          <w:rStyle w:val="38"/>
          <w:rFonts w:hint="eastAsia" w:ascii="仿宋" w:hAnsi="仿宋"/>
          <w:sz w:val="28"/>
          <w:szCs w:val="28"/>
        </w:rPr>
        <w:t>科技支撑保障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_Toc89418928 \h </w:instrText>
      </w:r>
      <w:r>
        <w:rPr>
          <w:rFonts w:ascii="仿宋" w:hAnsi="仿宋"/>
          <w:sz w:val="28"/>
          <w:szCs w:val="28"/>
        </w:rPr>
        <w:fldChar w:fldCharType="separate"/>
      </w:r>
      <w:r>
        <w:rPr>
          <w:rFonts w:ascii="仿宋" w:hAnsi="仿宋"/>
          <w:sz w:val="28"/>
          <w:szCs w:val="28"/>
        </w:rPr>
        <w:t>- 21 -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"_Toc89418929" </w:instrText>
      </w:r>
      <w:r>
        <w:fldChar w:fldCharType="separate"/>
      </w:r>
      <w:r>
        <w:rPr>
          <w:rStyle w:val="38"/>
          <w:rFonts w:ascii="仿宋" w:hAnsi="仿宋"/>
          <w:sz w:val="28"/>
          <w:szCs w:val="28"/>
        </w:rPr>
        <w:t xml:space="preserve">7.10 </w:t>
      </w:r>
      <w:r>
        <w:rPr>
          <w:rStyle w:val="38"/>
          <w:rFonts w:hint="eastAsia" w:ascii="仿宋" w:hAnsi="仿宋"/>
          <w:sz w:val="28"/>
          <w:szCs w:val="28"/>
        </w:rPr>
        <w:t>电力保障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_Toc89418929 \h </w:instrText>
      </w:r>
      <w:r>
        <w:rPr>
          <w:rFonts w:ascii="仿宋" w:hAnsi="仿宋"/>
          <w:sz w:val="28"/>
          <w:szCs w:val="28"/>
        </w:rPr>
        <w:fldChar w:fldCharType="separate"/>
      </w:r>
      <w:r>
        <w:rPr>
          <w:rFonts w:ascii="仿宋" w:hAnsi="仿宋"/>
          <w:sz w:val="28"/>
          <w:szCs w:val="28"/>
        </w:rPr>
        <w:t>- 21 -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"_Toc89418930" </w:instrText>
      </w:r>
      <w:r>
        <w:fldChar w:fldCharType="separate"/>
      </w:r>
      <w:r>
        <w:rPr>
          <w:rStyle w:val="38"/>
          <w:rFonts w:ascii="仿宋" w:hAnsi="仿宋"/>
          <w:sz w:val="28"/>
          <w:szCs w:val="28"/>
        </w:rPr>
        <w:t xml:space="preserve">7.11 </w:t>
      </w:r>
      <w:r>
        <w:rPr>
          <w:rStyle w:val="38"/>
          <w:rFonts w:hint="eastAsia" w:ascii="仿宋" w:hAnsi="仿宋"/>
          <w:sz w:val="28"/>
          <w:szCs w:val="28"/>
        </w:rPr>
        <w:t>保险制度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_Toc89418930 \h </w:instrText>
      </w:r>
      <w:r>
        <w:rPr>
          <w:rFonts w:ascii="仿宋" w:hAnsi="仿宋"/>
          <w:sz w:val="28"/>
          <w:szCs w:val="28"/>
        </w:rPr>
        <w:fldChar w:fldCharType="separate"/>
      </w:r>
      <w:r>
        <w:rPr>
          <w:rFonts w:ascii="仿宋" w:hAnsi="仿宋"/>
          <w:sz w:val="28"/>
          <w:szCs w:val="28"/>
        </w:rPr>
        <w:t>- 21 -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"_Toc89418931" </w:instrText>
      </w:r>
      <w:r>
        <w:fldChar w:fldCharType="separate"/>
      </w:r>
      <w:r>
        <w:rPr>
          <w:rStyle w:val="38"/>
          <w:rFonts w:ascii="仿宋" w:hAnsi="仿宋"/>
          <w:sz w:val="28"/>
          <w:szCs w:val="28"/>
        </w:rPr>
        <w:t xml:space="preserve">8 </w:t>
      </w:r>
      <w:r>
        <w:rPr>
          <w:rStyle w:val="38"/>
          <w:rFonts w:hint="eastAsia" w:ascii="仿宋" w:hAnsi="仿宋"/>
          <w:sz w:val="28"/>
          <w:szCs w:val="28"/>
        </w:rPr>
        <w:t>预案管理</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_Toc89418931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"_Toc89418932" </w:instrText>
      </w:r>
      <w:r>
        <w:fldChar w:fldCharType="separate"/>
      </w:r>
      <w:r>
        <w:rPr>
          <w:rStyle w:val="38"/>
          <w:rFonts w:ascii="仿宋" w:hAnsi="仿宋"/>
          <w:sz w:val="28"/>
          <w:szCs w:val="28"/>
        </w:rPr>
        <w:t xml:space="preserve">8.1 </w:t>
      </w:r>
      <w:r>
        <w:rPr>
          <w:rStyle w:val="38"/>
          <w:rFonts w:hint="eastAsia" w:ascii="仿宋" w:hAnsi="仿宋"/>
          <w:sz w:val="28"/>
          <w:szCs w:val="28"/>
        </w:rPr>
        <w:t>应急演练</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_Toc89418932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"_Toc89418933" </w:instrText>
      </w:r>
      <w:r>
        <w:fldChar w:fldCharType="separate"/>
      </w:r>
      <w:r>
        <w:rPr>
          <w:rStyle w:val="38"/>
          <w:rFonts w:ascii="仿宋" w:hAnsi="仿宋"/>
          <w:sz w:val="28"/>
          <w:szCs w:val="28"/>
        </w:rPr>
        <w:t xml:space="preserve">8.2 </w:t>
      </w:r>
      <w:r>
        <w:rPr>
          <w:rStyle w:val="38"/>
          <w:rFonts w:hint="eastAsia" w:ascii="仿宋" w:hAnsi="仿宋"/>
          <w:sz w:val="28"/>
          <w:szCs w:val="28"/>
        </w:rPr>
        <w:t>宣传培训</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_Toc89418933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"_Toc89418934" </w:instrText>
      </w:r>
      <w:r>
        <w:fldChar w:fldCharType="separate"/>
      </w:r>
      <w:r>
        <w:rPr>
          <w:rStyle w:val="38"/>
          <w:rFonts w:ascii="仿宋" w:hAnsi="仿宋"/>
          <w:sz w:val="28"/>
          <w:szCs w:val="28"/>
        </w:rPr>
        <w:t xml:space="preserve">8.3 </w:t>
      </w:r>
      <w:r>
        <w:rPr>
          <w:rStyle w:val="38"/>
          <w:rFonts w:hint="eastAsia" w:ascii="仿宋" w:hAnsi="仿宋"/>
          <w:sz w:val="28"/>
          <w:szCs w:val="28"/>
        </w:rPr>
        <w:t>预案修订</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_Toc89418934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"_Toc89418935" </w:instrText>
      </w:r>
      <w:r>
        <w:fldChar w:fldCharType="separate"/>
      </w:r>
      <w:r>
        <w:rPr>
          <w:rStyle w:val="38"/>
          <w:rFonts w:ascii="仿宋" w:hAnsi="仿宋"/>
          <w:sz w:val="28"/>
          <w:szCs w:val="28"/>
        </w:rPr>
        <w:t xml:space="preserve">8.4 </w:t>
      </w:r>
      <w:r>
        <w:rPr>
          <w:rStyle w:val="38"/>
          <w:rFonts w:hint="eastAsia" w:ascii="仿宋" w:hAnsi="仿宋"/>
          <w:sz w:val="28"/>
          <w:szCs w:val="28"/>
        </w:rPr>
        <w:t>预案实施</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_Toc89418935 \h </w:instrText>
      </w:r>
      <w:r>
        <w:rPr>
          <w:rFonts w:ascii="仿宋" w:hAnsi="仿宋"/>
          <w:sz w:val="28"/>
          <w:szCs w:val="28"/>
        </w:rPr>
        <w:fldChar w:fldCharType="separate"/>
      </w:r>
      <w:r>
        <w:rPr>
          <w:rFonts w:ascii="仿宋" w:hAnsi="仿宋"/>
          <w:sz w:val="28"/>
          <w:szCs w:val="28"/>
        </w:rPr>
        <w:t>- 23 -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0" w:firstLineChars="0"/>
        <w:rPr>
          <w:rFonts w:ascii="仿宋" w:hAnsi="仿宋"/>
          <w:b w:val="0"/>
          <w:bCs w:val="0"/>
          <w:caps w:val="0"/>
          <w:sz w:val="28"/>
          <w:szCs w:val="28"/>
        </w:rPr>
      </w:pPr>
      <w:r>
        <w:fldChar w:fldCharType="begin"/>
      </w:r>
      <w:r>
        <w:instrText xml:space="preserve"> HYPERLINK \l "_Toc89418936" </w:instrText>
      </w:r>
      <w:r>
        <w:fldChar w:fldCharType="separate"/>
      </w:r>
      <w:r>
        <w:rPr>
          <w:rStyle w:val="38"/>
          <w:rFonts w:ascii="仿宋" w:hAnsi="仿宋"/>
          <w:sz w:val="28"/>
          <w:szCs w:val="28"/>
        </w:rPr>
        <w:t xml:space="preserve">9 </w:t>
      </w:r>
      <w:r>
        <w:rPr>
          <w:rStyle w:val="38"/>
          <w:rFonts w:hint="eastAsia" w:ascii="仿宋" w:hAnsi="仿宋"/>
          <w:sz w:val="28"/>
          <w:szCs w:val="28"/>
        </w:rPr>
        <w:t>附</w:t>
      </w:r>
      <w:r>
        <w:rPr>
          <w:rStyle w:val="38"/>
          <w:rFonts w:ascii="仿宋" w:hAnsi="仿宋"/>
          <w:sz w:val="28"/>
          <w:szCs w:val="28"/>
        </w:rPr>
        <w:t xml:space="preserve">  </w:t>
      </w:r>
      <w:r>
        <w:rPr>
          <w:rStyle w:val="38"/>
          <w:rFonts w:hint="eastAsia" w:ascii="仿宋" w:hAnsi="仿宋"/>
          <w:sz w:val="28"/>
          <w:szCs w:val="28"/>
        </w:rPr>
        <w:t>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_Toc89418936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"_Toc89418937" </w:instrText>
      </w:r>
      <w:r>
        <w:fldChar w:fldCharType="separate"/>
      </w:r>
      <w:r>
        <w:rPr>
          <w:rStyle w:val="38"/>
          <w:rFonts w:ascii="仿宋" w:hAnsi="仿宋"/>
          <w:sz w:val="28"/>
          <w:szCs w:val="28"/>
        </w:rPr>
        <w:t xml:space="preserve">9.1 </w:t>
      </w:r>
      <w:r>
        <w:rPr>
          <w:rStyle w:val="38"/>
          <w:rFonts w:hint="eastAsia" w:ascii="仿宋" w:hAnsi="仿宋"/>
          <w:sz w:val="28"/>
          <w:szCs w:val="28"/>
        </w:rPr>
        <w:t>海南省烟花爆竹生产安全事故部门应急职责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_Toc89418937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"_Toc89418938" </w:instrText>
      </w:r>
      <w:r>
        <w:fldChar w:fldCharType="separate"/>
      </w:r>
      <w:r>
        <w:rPr>
          <w:rStyle w:val="38"/>
          <w:rFonts w:ascii="仿宋" w:hAnsi="仿宋"/>
          <w:sz w:val="28"/>
          <w:szCs w:val="28"/>
        </w:rPr>
        <w:t xml:space="preserve">9.2 </w:t>
      </w:r>
      <w:r>
        <w:rPr>
          <w:rStyle w:val="38"/>
          <w:rFonts w:hint="eastAsia" w:ascii="仿宋" w:hAnsi="仿宋"/>
          <w:sz w:val="28"/>
          <w:szCs w:val="28"/>
        </w:rPr>
        <w:t>烟花爆竹预警信息发布工作要求</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_Toc89418938 \h </w:instrText>
      </w:r>
      <w:r>
        <w:rPr>
          <w:rFonts w:ascii="仿宋" w:hAnsi="仿宋"/>
          <w:sz w:val="28"/>
          <w:szCs w:val="28"/>
        </w:rPr>
        <w:fldChar w:fldCharType="separate"/>
      </w:r>
      <w:r>
        <w:rPr>
          <w:rFonts w:ascii="仿宋" w:hAnsi="仿宋"/>
          <w:sz w:val="28"/>
          <w:szCs w:val="28"/>
        </w:rPr>
        <w:t>- 28 -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"_Toc89418939" </w:instrText>
      </w:r>
      <w:r>
        <w:fldChar w:fldCharType="separate"/>
      </w:r>
      <w:r>
        <w:rPr>
          <w:rStyle w:val="38"/>
          <w:rFonts w:ascii="仿宋" w:hAnsi="仿宋"/>
          <w:sz w:val="28"/>
          <w:szCs w:val="28"/>
        </w:rPr>
        <w:t xml:space="preserve">9.3 </w:t>
      </w:r>
      <w:r>
        <w:rPr>
          <w:rStyle w:val="38"/>
          <w:rFonts w:hint="eastAsia" w:ascii="仿宋" w:hAnsi="仿宋"/>
          <w:sz w:val="28"/>
          <w:szCs w:val="28"/>
        </w:rPr>
        <w:t>烟花爆竹危险等级分类</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_Toc89418939 \h </w:instrText>
      </w:r>
      <w:r>
        <w:rPr>
          <w:rFonts w:ascii="仿宋" w:hAnsi="仿宋"/>
          <w:sz w:val="28"/>
          <w:szCs w:val="28"/>
        </w:rPr>
        <w:fldChar w:fldCharType="separate"/>
      </w:r>
      <w:r>
        <w:rPr>
          <w:rFonts w:ascii="仿宋" w:hAnsi="仿宋"/>
          <w:sz w:val="28"/>
          <w:szCs w:val="28"/>
        </w:rPr>
        <w:t>- 30 -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"_Toc89418940" </w:instrText>
      </w:r>
      <w:r>
        <w:fldChar w:fldCharType="separate"/>
      </w:r>
      <w:r>
        <w:rPr>
          <w:rStyle w:val="38"/>
          <w:rFonts w:ascii="仿宋" w:hAnsi="仿宋"/>
          <w:sz w:val="28"/>
          <w:szCs w:val="28"/>
        </w:rPr>
        <w:t xml:space="preserve">9.4 </w:t>
      </w:r>
      <w:r>
        <w:rPr>
          <w:rStyle w:val="38"/>
          <w:rFonts w:hint="eastAsia" w:ascii="仿宋" w:hAnsi="仿宋"/>
          <w:sz w:val="28"/>
          <w:szCs w:val="28"/>
        </w:rPr>
        <w:t>消防车资源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_Toc89418940 \h </w:instrText>
      </w:r>
      <w:r>
        <w:rPr>
          <w:rFonts w:ascii="仿宋" w:hAnsi="仿宋"/>
          <w:sz w:val="28"/>
          <w:szCs w:val="28"/>
        </w:rPr>
        <w:fldChar w:fldCharType="separate"/>
      </w:r>
      <w:r>
        <w:rPr>
          <w:rFonts w:ascii="仿宋" w:hAnsi="仿宋"/>
          <w:sz w:val="28"/>
          <w:szCs w:val="28"/>
        </w:rPr>
        <w:t>- 31 -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0" w:firstLineChars="0"/>
        <w:rPr>
          <w:rFonts w:ascii="仿宋" w:hAnsi="仿宋"/>
          <w:smallCaps w:val="0"/>
          <w:sz w:val="28"/>
          <w:szCs w:val="28"/>
        </w:rPr>
      </w:pPr>
      <w:r>
        <w:fldChar w:fldCharType="begin"/>
      </w:r>
      <w:r>
        <w:instrText xml:space="preserve"> HYPERLINK \l "_Toc89418942" </w:instrText>
      </w:r>
      <w:r>
        <w:fldChar w:fldCharType="separate"/>
      </w:r>
      <w:r>
        <w:rPr>
          <w:rStyle w:val="38"/>
          <w:rFonts w:ascii="仿宋" w:hAnsi="仿宋"/>
          <w:sz w:val="28"/>
          <w:szCs w:val="28"/>
        </w:rPr>
        <w:t xml:space="preserve">9.5 </w:t>
      </w:r>
      <w:r>
        <w:rPr>
          <w:rStyle w:val="38"/>
          <w:rFonts w:hint="eastAsia" w:ascii="仿宋" w:hAnsi="仿宋"/>
          <w:sz w:val="28"/>
          <w:szCs w:val="28"/>
        </w:rPr>
        <w:t>烟花爆竹事故现场处置要点</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_Toc89418942 \h </w:instrText>
      </w:r>
      <w:r>
        <w:rPr>
          <w:rFonts w:ascii="仿宋" w:hAnsi="仿宋"/>
          <w:sz w:val="28"/>
          <w:szCs w:val="28"/>
        </w:rPr>
        <w:fldChar w:fldCharType="separate"/>
      </w:r>
      <w:r>
        <w:rPr>
          <w:rFonts w:ascii="仿宋" w:hAnsi="仿宋"/>
          <w:sz w:val="28"/>
          <w:szCs w:val="28"/>
        </w:rPr>
        <w:t>- 37 -</w:t>
      </w:r>
      <w:r>
        <w:rPr>
          <w:rFonts w:ascii="仿宋" w:hAnsi="仿宋"/>
          <w:sz w:val="28"/>
          <w:szCs w:val="28"/>
        </w:rPr>
        <w:fldChar w:fldCharType="end"/>
      </w:r>
      <w:r>
        <w:rPr>
          <w:rFonts w:ascii="仿宋" w:hAnsi="仿宋"/>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"_Toc89418943" </w:instrText>
      </w:r>
      <w:r>
        <w:fldChar w:fldCharType="separate"/>
      </w:r>
      <w:r>
        <w:rPr>
          <w:rStyle w:val="38"/>
          <w:rFonts w:ascii="仿宋" w:hAnsi="仿宋"/>
          <w:i w:val="0"/>
          <w:sz w:val="28"/>
          <w:szCs w:val="28"/>
        </w:rPr>
        <w:t xml:space="preserve">9.5.1 </w:t>
      </w:r>
      <w:r>
        <w:rPr>
          <w:rStyle w:val="38"/>
          <w:rFonts w:hint="eastAsia" w:ascii="仿宋" w:hAnsi="仿宋"/>
          <w:i w:val="0"/>
          <w:sz w:val="28"/>
          <w:szCs w:val="28"/>
        </w:rPr>
        <w:t>火灾事故处置要点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_Toc89418943 \h </w:instrText>
      </w:r>
      <w:r>
        <w:rPr>
          <w:rFonts w:ascii="仿宋" w:hAnsi="仿宋"/>
          <w:i w:val="0"/>
          <w:sz w:val="28"/>
          <w:szCs w:val="28"/>
        </w:rPr>
        <w:fldChar w:fldCharType="separate"/>
      </w:r>
      <w:r>
        <w:rPr>
          <w:rFonts w:ascii="仿宋" w:hAnsi="仿宋"/>
          <w:i w:val="0"/>
          <w:sz w:val="28"/>
          <w:szCs w:val="28"/>
        </w:rPr>
        <w:t>- 37 -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"_Toc89418944" </w:instrText>
      </w:r>
      <w:r>
        <w:fldChar w:fldCharType="separate"/>
      </w:r>
      <w:r>
        <w:rPr>
          <w:rStyle w:val="38"/>
          <w:rFonts w:ascii="仿宋" w:hAnsi="仿宋"/>
          <w:i w:val="0"/>
          <w:sz w:val="28"/>
          <w:szCs w:val="28"/>
        </w:rPr>
        <w:t xml:space="preserve">9.5.2 </w:t>
      </w:r>
      <w:r>
        <w:rPr>
          <w:rStyle w:val="38"/>
          <w:rFonts w:hint="eastAsia" w:ascii="仿宋" w:hAnsi="仿宋"/>
          <w:i w:val="0"/>
          <w:sz w:val="28"/>
          <w:szCs w:val="28"/>
        </w:rPr>
        <w:t>爆炸事故处置要点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_Toc89418944 \h </w:instrText>
      </w:r>
      <w:r>
        <w:rPr>
          <w:rFonts w:ascii="仿宋" w:hAnsi="仿宋"/>
          <w:i w:val="0"/>
          <w:sz w:val="28"/>
          <w:szCs w:val="28"/>
        </w:rPr>
        <w:fldChar w:fldCharType="separate"/>
      </w:r>
      <w:r>
        <w:rPr>
          <w:rFonts w:ascii="仿宋" w:hAnsi="仿宋"/>
          <w:i w:val="0"/>
          <w:sz w:val="28"/>
          <w:szCs w:val="28"/>
        </w:rPr>
        <w:t>- 37 -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0" w:firstLineChars="0"/>
        <w:rPr>
          <w:rFonts w:ascii="仿宋" w:hAnsi="仿宋"/>
          <w:i w:val="0"/>
          <w:iCs w:val="0"/>
          <w:sz w:val="28"/>
          <w:szCs w:val="28"/>
        </w:rPr>
      </w:pPr>
      <w:r>
        <w:fldChar w:fldCharType="begin"/>
      </w:r>
      <w:r>
        <w:instrText xml:space="preserve"> HYPERLINK \l "_Toc89418945" </w:instrText>
      </w:r>
      <w:r>
        <w:fldChar w:fldCharType="separate"/>
      </w:r>
      <w:r>
        <w:rPr>
          <w:rStyle w:val="38"/>
          <w:rFonts w:ascii="仿宋" w:hAnsi="仿宋"/>
          <w:i w:val="0"/>
          <w:sz w:val="28"/>
          <w:szCs w:val="28"/>
        </w:rPr>
        <w:t xml:space="preserve">9.5.3 </w:t>
      </w:r>
      <w:r>
        <w:rPr>
          <w:rStyle w:val="38"/>
          <w:rFonts w:hint="eastAsia" w:ascii="仿宋" w:hAnsi="仿宋"/>
          <w:i w:val="0"/>
          <w:sz w:val="28"/>
          <w:szCs w:val="28"/>
        </w:rPr>
        <w:t>运输事故处置要点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_Toc89418945 \h </w:instrText>
      </w:r>
      <w:r>
        <w:rPr>
          <w:rFonts w:ascii="仿宋" w:hAnsi="仿宋"/>
          <w:i w:val="0"/>
          <w:sz w:val="28"/>
          <w:szCs w:val="28"/>
        </w:rPr>
        <w:fldChar w:fldCharType="separate"/>
      </w:r>
      <w:r>
        <w:rPr>
          <w:rFonts w:ascii="仿宋" w:hAnsi="仿宋"/>
          <w:i w:val="0"/>
          <w:sz w:val="28"/>
          <w:szCs w:val="28"/>
        </w:rPr>
        <w:t>- 38 -</w:t>
      </w:r>
      <w:r>
        <w:rPr>
          <w:rFonts w:ascii="仿宋" w:hAnsi="仿宋"/>
          <w:i w:val="0"/>
          <w:sz w:val="28"/>
          <w:szCs w:val="28"/>
        </w:rPr>
        <w:fldChar w:fldCharType="end"/>
      </w:r>
      <w:r>
        <w:rPr>
          <w:rFonts w:ascii="仿宋" w:hAnsi="仿宋"/>
          <w:i w:val="0"/>
          <w:sz w:val="28"/>
          <w:szCs w:val="28"/>
        </w:rPr>
        <w:fldChar w:fldCharType="end"/>
      </w:r>
    </w:p>
    <w:p>
      <w:pPr>
        <w:spacing w:line="360" w:lineRule="auto"/>
        <w:ind w:firstLine="0" w:firstLineChars="0"/>
        <w:sectPr>
          <w:headerReference r:id="rId8" w:type="default"/>
          <w:footerReference r:id="rId9" w:type="default"/>
          <w:pgSz w:w="11906" w:h="16838"/>
          <w:pgMar w:top="1701" w:right="1474" w:bottom="1134" w:left="1588" w:header="851" w:footer="992" w:gutter="0"/>
          <w:pgNumType w:fmt="numberInDash" w:start="1"/>
          <w:cols w:space="425" w:num="1"/>
          <w:docGrid w:type="linesAndChars" w:linePitch="312" w:charSpace="0"/>
        </w:sectPr>
      </w:pPr>
      <w:r>
        <w:rPr>
          <w:sz w:val="28"/>
          <w:szCs w:val="28"/>
        </w:rPr>
        <w:fldChar w:fldCharType="end"/>
      </w:r>
    </w:p>
    <w:p>
      <w:pPr>
        <w:pStyle w:val="2"/>
      </w:pPr>
      <w:bookmarkStart w:id="0" w:name="_Toc89418885"/>
      <w:r>
        <w:t>1 总</w:t>
      </w:r>
      <w:r>
        <w:rPr>
          <w:rFonts w:hint="eastAsia"/>
        </w:rPr>
        <w:t xml:space="preserve">  </w:t>
      </w:r>
      <w:r>
        <w:t>则</w:t>
      </w:r>
      <w:bookmarkEnd w:id="0"/>
    </w:p>
    <w:p>
      <w:pPr>
        <w:pStyle w:val="3"/>
      </w:pPr>
      <w:bookmarkStart w:id="1" w:name="_Toc89418886"/>
      <w:r>
        <w:t>1.1 编制目的</w:t>
      </w:r>
      <w:bookmarkEnd w:id="1"/>
    </w:p>
    <w:p>
      <w:pPr>
        <w:ind w:firstLine="594"/>
      </w:pPr>
      <w:r>
        <w:rPr>
          <w:rFonts w:hint="eastAsia"/>
        </w:rPr>
        <w:t>规范海南省烟花爆竹生产安全事故应急管理工作，建立统一指挥、分级管理、反应快捷的应急工作机制，有效预防烟花爆竹生产安全事故灾害，最大程度减少人员伤亡与财产损失，制定本预案。</w:t>
      </w:r>
    </w:p>
    <w:p>
      <w:pPr>
        <w:pStyle w:val="3"/>
      </w:pPr>
      <w:bookmarkStart w:id="2" w:name="_Toc89418887"/>
      <w:r>
        <w:rPr>
          <w:rFonts w:hint="eastAsia"/>
        </w:rPr>
        <w:t>1.2</w:t>
      </w:r>
      <w:r>
        <w:t xml:space="preserve"> 工作原则</w:t>
      </w:r>
      <w:bookmarkEnd w:id="2"/>
    </w:p>
    <w:p>
      <w:pPr>
        <w:ind w:firstLine="594"/>
      </w:pPr>
      <w:r>
        <w:rPr>
          <w:rFonts w:hint="eastAsia"/>
        </w:rPr>
        <w:t>（</w:t>
      </w:r>
      <w:r>
        <w:t>1）以人为本，安全第一</w:t>
      </w:r>
    </w:p>
    <w:p>
      <w:pPr>
        <w:ind w:firstLine="594"/>
      </w:pPr>
      <w:r>
        <w:rPr>
          <w:rFonts w:hint="eastAsia"/>
        </w:rPr>
        <w:t>把保障人民生命安全作为首要任务，最大程度地预防和减少生产安全事故造成的人员伤亡和财产损失。做好应急救援人员的安全防护工作</w:t>
      </w:r>
      <w:r>
        <w:t>,充分发挥专业救援力量的骨干作用和专家的参与作用。</w:t>
      </w:r>
    </w:p>
    <w:p>
      <w:pPr>
        <w:ind w:firstLine="594"/>
      </w:pPr>
      <w:r>
        <w:rPr>
          <w:rFonts w:hint="eastAsia"/>
        </w:rPr>
        <w:t>（</w:t>
      </w:r>
      <w:r>
        <w:t>2）统一领导，分级负责</w:t>
      </w:r>
    </w:p>
    <w:p>
      <w:pPr>
        <w:ind w:firstLine="594"/>
      </w:pPr>
      <w:r>
        <w:rPr>
          <w:rFonts w:hint="eastAsia"/>
        </w:rPr>
        <w:t>在省人民政府统一领导下，省有关部门和各市县人民政府、洋浦经济开发区管委会等有关部门按照各自职责和权限，开展事故的应急管理和应急处置。建立健全应急机制，做好各级应急预案的衔接，强化落实企业的主体责任。</w:t>
      </w:r>
    </w:p>
    <w:p>
      <w:pPr>
        <w:ind w:firstLine="594"/>
      </w:pPr>
      <w:r>
        <w:rPr>
          <w:rFonts w:hint="eastAsia"/>
        </w:rPr>
        <w:t>（</w:t>
      </w:r>
      <w:r>
        <w:t>3）依靠科学，依法依规</w:t>
      </w:r>
    </w:p>
    <w:p>
      <w:pPr>
        <w:ind w:firstLine="594"/>
      </w:pPr>
      <w:r>
        <w:rPr>
          <w:rFonts w:hint="eastAsia"/>
        </w:rPr>
        <w:t>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以信息化推进应急管理现代化，各行业部门要加强信息化指挥场所的建设，提升应急指挥效率及效能，保证信息系统上报的质量和效率，提高监测预警能力、监管执法能力、辅助指挥决策能力、救援实战能力和社会动员能力。</w:t>
      </w:r>
    </w:p>
    <w:p>
      <w:pPr>
        <w:ind w:firstLine="594"/>
      </w:pPr>
      <w:r>
        <w:rPr>
          <w:rFonts w:hint="eastAsia"/>
        </w:rPr>
        <w:t>（</w:t>
      </w:r>
      <w:r>
        <w:t>4）预防为主，平战结合</w:t>
      </w:r>
    </w:p>
    <w:p>
      <w:pPr>
        <w:ind w:firstLine="594"/>
      </w:pPr>
      <w:r>
        <w:rPr>
          <w:rFonts w:hint="eastAsia"/>
        </w:rPr>
        <w:t>贯彻落实“预防为主”方针，坚持事故应急与预防工作相结合。以常态下的风险评估、物资储备、队伍建设、装备配备、预案编制、应急培训和应急演练等工作为重点，保证个人防护用品的配备及应急物资的常态化监督管理，做好预防、预测、预警工作。</w:t>
      </w:r>
    </w:p>
    <w:p>
      <w:pPr>
        <w:pStyle w:val="3"/>
      </w:pPr>
      <w:bookmarkStart w:id="3" w:name="_Toc89418888"/>
      <w:r>
        <w:rPr>
          <w:rFonts w:hint="eastAsia"/>
        </w:rPr>
        <w:t>1.3 编制依据</w:t>
      </w:r>
      <w:bookmarkEnd w:id="3"/>
    </w:p>
    <w:p>
      <w:pPr>
        <w:ind w:firstLine="594"/>
      </w:pPr>
      <w:r>
        <w:rPr>
          <w:rFonts w:hint="eastAsia"/>
        </w:rPr>
        <w:t>（1）</w:t>
      </w:r>
      <w:r>
        <w:t>《中华人民共和国安全生产法》</w:t>
      </w:r>
    </w:p>
    <w:p>
      <w:pPr>
        <w:ind w:firstLine="594"/>
      </w:pPr>
      <w:r>
        <w:rPr>
          <w:rFonts w:hint="eastAsia"/>
        </w:rPr>
        <w:t>（2）《中华人民共和国消防法》</w:t>
      </w:r>
    </w:p>
    <w:p>
      <w:pPr>
        <w:ind w:firstLine="594"/>
      </w:pPr>
      <w:r>
        <w:rPr>
          <w:rFonts w:hint="eastAsia"/>
        </w:rPr>
        <w:t>（3）</w:t>
      </w:r>
      <w:r>
        <w:t>《中华人民共和国突发事件应对法》</w:t>
      </w:r>
    </w:p>
    <w:p>
      <w:pPr>
        <w:ind w:firstLine="594"/>
      </w:pPr>
      <w:r>
        <w:rPr>
          <w:rFonts w:hint="eastAsia"/>
        </w:rPr>
        <w:t>（4）</w:t>
      </w:r>
      <w:r>
        <w:t>《生产经营单位生产安全事故应急预案编制导则》</w:t>
      </w:r>
    </w:p>
    <w:p>
      <w:pPr>
        <w:ind w:firstLine="594"/>
      </w:pPr>
      <w:r>
        <w:rPr>
          <w:rFonts w:hint="eastAsia"/>
        </w:rPr>
        <w:t>（</w:t>
      </w:r>
      <w:r>
        <w:t>5</w:t>
      </w:r>
      <w:r>
        <w:rPr>
          <w:rFonts w:hint="eastAsia"/>
        </w:rPr>
        <w:t>）</w:t>
      </w:r>
      <w:r>
        <w:t>《生产安全事故应急条例》</w:t>
      </w:r>
    </w:p>
    <w:p>
      <w:pPr>
        <w:ind w:firstLine="594"/>
      </w:pPr>
      <w:r>
        <w:rPr>
          <w:rFonts w:hint="eastAsia"/>
        </w:rPr>
        <w:t>（</w:t>
      </w:r>
      <w:r>
        <w:t>6</w:t>
      </w:r>
      <w:r>
        <w:rPr>
          <w:rFonts w:hint="eastAsia"/>
        </w:rPr>
        <w:t>）《</w:t>
      </w:r>
      <w:r>
        <w:t>烟花爆竹安全管理条例</w:t>
      </w:r>
      <w:r>
        <w:rPr>
          <w:rFonts w:hint="eastAsia"/>
        </w:rPr>
        <w:t>》</w:t>
      </w:r>
    </w:p>
    <w:p>
      <w:pPr>
        <w:ind w:firstLine="594"/>
      </w:pPr>
      <w:r>
        <w:rPr>
          <w:rFonts w:hint="eastAsia"/>
        </w:rPr>
        <w:t>（</w:t>
      </w:r>
      <w:r>
        <w:t>7</w:t>
      </w:r>
      <w:r>
        <w:rPr>
          <w:rFonts w:hint="eastAsia"/>
        </w:rPr>
        <w:t>）</w:t>
      </w:r>
      <w:r>
        <w:t>《生产安全事故报告和调查处理条例》</w:t>
      </w:r>
    </w:p>
    <w:p>
      <w:pPr>
        <w:ind w:firstLine="594"/>
      </w:pPr>
      <w:r>
        <w:rPr>
          <w:rFonts w:hint="eastAsia"/>
        </w:rPr>
        <w:t>（8）《突发事件应急预案管理办法》</w:t>
      </w:r>
    </w:p>
    <w:p>
      <w:pPr>
        <w:ind w:firstLine="594"/>
      </w:pPr>
      <w:r>
        <w:rPr>
          <w:rFonts w:hint="eastAsia"/>
        </w:rPr>
        <w:t>（</w:t>
      </w:r>
      <w:r>
        <w:t>9</w:t>
      </w:r>
      <w:r>
        <w:rPr>
          <w:rFonts w:hint="eastAsia"/>
        </w:rPr>
        <w:t>）</w:t>
      </w:r>
      <w:r>
        <w:t>《生产安全事故应急预案管理办法》</w:t>
      </w:r>
    </w:p>
    <w:p>
      <w:pPr>
        <w:ind w:firstLine="594"/>
        <w:rPr>
          <w:rFonts w:hint="eastAsia" w:ascii="微软雅黑" w:hAnsi="微软雅黑"/>
          <w:color w:val="000000"/>
          <w:szCs w:val="32"/>
          <w:shd w:val="clear" w:color="auto" w:fill="FFFFFF"/>
        </w:rPr>
      </w:pPr>
      <w:r>
        <w:rPr>
          <w:rFonts w:hint="eastAsia"/>
        </w:rPr>
        <w:t>（</w:t>
      </w:r>
      <w:r>
        <w:t>10</w:t>
      </w:r>
      <w:r>
        <w:rPr>
          <w:rFonts w:hint="eastAsia"/>
        </w:rPr>
        <w:t>）</w:t>
      </w:r>
      <w:r>
        <w:rPr>
          <w:rFonts w:ascii="微软雅黑" w:hAnsi="微软雅黑"/>
          <w:color w:val="000000"/>
          <w:szCs w:val="32"/>
          <w:shd w:val="clear" w:color="auto" w:fill="FFFFFF"/>
        </w:rPr>
        <w:t>《海南自由贸易港消防条例》</w:t>
      </w:r>
    </w:p>
    <w:p>
      <w:pPr>
        <w:ind w:firstLine="594"/>
      </w:pPr>
      <w:r>
        <w:rPr>
          <w:rFonts w:hint="eastAsia"/>
        </w:rPr>
        <w:t>（</w:t>
      </w:r>
      <w:r>
        <w:t>11</w:t>
      </w:r>
      <w:r>
        <w:rPr>
          <w:rFonts w:hint="eastAsia"/>
        </w:rPr>
        <w:t>）</w:t>
      </w:r>
      <w:r>
        <w:t>《海南经济特区安全生产条例》</w:t>
      </w:r>
    </w:p>
    <w:p>
      <w:pPr>
        <w:ind w:firstLine="594"/>
      </w:pPr>
      <w:r>
        <w:rPr>
          <w:rFonts w:hint="eastAsia"/>
        </w:rPr>
        <w:t>（1</w:t>
      </w:r>
      <w:r>
        <w:t>2</w:t>
      </w:r>
      <w:r>
        <w:rPr>
          <w:rFonts w:hint="eastAsia"/>
        </w:rPr>
        <w:t>）</w:t>
      </w:r>
      <w:r>
        <w:t>《生产经营单位生产安全事故应急预案编制导则》</w:t>
      </w:r>
    </w:p>
    <w:p>
      <w:pPr>
        <w:ind w:firstLine="594"/>
      </w:pPr>
      <w:r>
        <w:rPr>
          <w:rFonts w:hint="eastAsia"/>
        </w:rPr>
        <w:t>（1</w:t>
      </w:r>
      <w:r>
        <w:t>3</w:t>
      </w:r>
      <w:r>
        <w:rPr>
          <w:rFonts w:hint="eastAsia"/>
        </w:rPr>
        <w:t>）</w:t>
      </w:r>
      <w:r>
        <w:t>《海南省生产安全事故应急预案》</w:t>
      </w:r>
    </w:p>
    <w:p>
      <w:pPr>
        <w:pStyle w:val="3"/>
      </w:pPr>
      <w:bookmarkStart w:id="4" w:name="_Toc89418889"/>
      <w:r>
        <w:rPr>
          <w:rFonts w:hint="eastAsia"/>
        </w:rPr>
        <w:t>1.4 适用范围</w:t>
      </w:r>
      <w:bookmarkEnd w:id="4"/>
    </w:p>
    <w:p>
      <w:pPr>
        <w:ind w:firstLine="594"/>
      </w:pPr>
      <w:r>
        <w:rPr>
          <w:rFonts w:hint="eastAsia"/>
        </w:rPr>
        <w:t>本预案适用于以下在</w:t>
      </w:r>
      <w:r>
        <w:t>海南省</w:t>
      </w:r>
      <w:r>
        <w:rPr>
          <w:rFonts w:hint="eastAsia"/>
        </w:rPr>
        <w:t>烟花</w:t>
      </w:r>
      <w:r>
        <w:t>爆竹</w:t>
      </w:r>
      <w:r>
        <w:rPr>
          <w:rFonts w:hint="eastAsia"/>
        </w:rPr>
        <w:t>生产、</w:t>
      </w:r>
      <w:r>
        <w:t>经营、存储、运输和燃放等过程中发生</w:t>
      </w:r>
      <w:r>
        <w:rPr>
          <w:rFonts w:hint="eastAsia"/>
        </w:rPr>
        <w:t>的生产安全事故</w:t>
      </w:r>
      <w:r>
        <w:t>应对工作</w:t>
      </w:r>
      <w:r>
        <w:rPr>
          <w:rFonts w:hint="eastAsia"/>
        </w:rPr>
        <w:t>：</w:t>
      </w:r>
    </w:p>
    <w:p>
      <w:pPr>
        <w:ind w:firstLine="594"/>
      </w:pPr>
      <w:r>
        <w:rPr>
          <w:rFonts w:hint="eastAsia"/>
        </w:rPr>
        <w:t>（</w:t>
      </w:r>
      <w:r>
        <w:rPr>
          <w:rFonts w:hint="eastAsia" w:ascii="Times New Roman" w:hAnsi="Times New Roman"/>
        </w:rPr>
        <w:t>1</w:t>
      </w:r>
      <w:r>
        <w:rPr>
          <w:rFonts w:hint="eastAsia"/>
        </w:rPr>
        <w:t>）在行政区域内发生重大、特别重大烟花</w:t>
      </w:r>
      <w:r>
        <w:t>爆竹</w:t>
      </w:r>
      <w:r>
        <w:rPr>
          <w:rFonts w:hint="eastAsia"/>
        </w:rPr>
        <w:t>生产安全事故；</w:t>
      </w:r>
    </w:p>
    <w:p>
      <w:pPr>
        <w:ind w:firstLine="594"/>
      </w:pPr>
      <w:r>
        <w:rPr>
          <w:rFonts w:hint="eastAsia"/>
        </w:rPr>
        <w:t>（</w:t>
      </w:r>
      <w:r>
        <w:rPr>
          <w:rFonts w:hint="eastAsia" w:ascii="Times New Roman" w:hAnsi="Times New Roman"/>
        </w:rPr>
        <w:t>2</w:t>
      </w:r>
      <w:r>
        <w:rPr>
          <w:rFonts w:hint="eastAsia"/>
        </w:rPr>
        <w:t>）超出事发地市县人民政府、洋浦经济开发区管委会处置能力的烟花爆竹生产安全事故；</w:t>
      </w:r>
    </w:p>
    <w:p>
      <w:pPr>
        <w:ind w:firstLine="594"/>
      </w:pPr>
      <w:r>
        <w:rPr>
          <w:rFonts w:hint="eastAsia"/>
        </w:rPr>
        <w:t>（</w:t>
      </w:r>
      <w:r>
        <w:rPr>
          <w:rFonts w:hint="eastAsia" w:ascii="Times New Roman" w:hAnsi="Times New Roman"/>
        </w:rPr>
        <w:t>3</w:t>
      </w:r>
      <w:r>
        <w:rPr>
          <w:rFonts w:hint="eastAsia"/>
        </w:rPr>
        <w:t>）省人民政府认为有必要响应的烟花爆竹生产安全事故；</w:t>
      </w:r>
    </w:p>
    <w:p>
      <w:pPr>
        <w:ind w:firstLine="594"/>
      </w:pPr>
      <w:r>
        <w:rPr>
          <w:rFonts w:hint="eastAsia"/>
        </w:rPr>
        <w:t>（</w:t>
      </w:r>
      <w:r>
        <w:rPr>
          <w:rFonts w:ascii="Times New Roman" w:hAnsi="Times New Roman"/>
        </w:rPr>
        <w:t>4</w:t>
      </w:r>
      <w:r>
        <w:rPr>
          <w:rFonts w:hint="eastAsia"/>
        </w:rPr>
        <w:t>）应急管理部或海南省人民政府责成处置的烟花爆竹生产安全事故。</w:t>
      </w:r>
    </w:p>
    <w:p>
      <w:pPr>
        <w:ind w:firstLine="594"/>
      </w:pPr>
      <w:r>
        <w:rPr>
          <w:rFonts w:hint="eastAsia"/>
        </w:rPr>
        <w:t>本预案适用范围之外的省内烟花爆竹生产安全事故，由市县人民政府、洋浦经济开发区管委会制定预案应对处置，省人民政府及有关部门根据需要进行指导。</w:t>
      </w:r>
    </w:p>
    <w:p>
      <w:pPr>
        <w:pStyle w:val="2"/>
      </w:pPr>
      <w:bookmarkStart w:id="5" w:name="_Toc89418890"/>
      <w:r>
        <w:t xml:space="preserve">2 </w:t>
      </w:r>
      <w:r>
        <w:rPr>
          <w:rFonts w:hint="eastAsia"/>
        </w:rPr>
        <w:t>危险性分析</w:t>
      </w:r>
      <w:bookmarkEnd w:id="5"/>
    </w:p>
    <w:p>
      <w:pPr>
        <w:pStyle w:val="3"/>
      </w:pPr>
      <w:bookmarkStart w:id="6" w:name="_Toc89418891"/>
      <w:r>
        <w:rPr>
          <w:rFonts w:hint="eastAsia"/>
        </w:rPr>
        <w:t>2</w:t>
      </w:r>
      <w:r>
        <w:t>.</w:t>
      </w:r>
      <w:r>
        <w:rPr>
          <w:rFonts w:hint="eastAsia"/>
        </w:rPr>
        <w:t>1</w:t>
      </w:r>
      <w:r>
        <w:t xml:space="preserve"> </w:t>
      </w:r>
      <w:r>
        <w:rPr>
          <w:rFonts w:hint="eastAsia"/>
        </w:rPr>
        <w:t>基本现状</w:t>
      </w:r>
      <w:bookmarkEnd w:id="6"/>
    </w:p>
    <w:p>
      <w:pPr>
        <w:ind w:firstLine="594"/>
      </w:pPr>
      <w:r>
        <w:rPr>
          <w:rFonts w:hint="eastAsia"/>
        </w:rPr>
        <w:t>目前</w:t>
      </w:r>
      <w:r>
        <w:t>，海南省烟花</w:t>
      </w:r>
      <w:r>
        <w:rPr>
          <w:rFonts w:hint="eastAsia"/>
        </w:rPr>
        <w:t>爆竹企业35家，皆为批发企业。具体分布如下：</w:t>
      </w:r>
    </w:p>
    <w:p>
      <w:pPr>
        <w:ind w:firstLine="594"/>
      </w:pPr>
      <w:r>
        <w:rPr>
          <w:rFonts w:hint="eastAsia"/>
        </w:rPr>
        <w:t>经营批发企业分布情况：</w:t>
      </w:r>
      <w:r>
        <w:rPr>
          <w:rFonts w:hint="eastAsia"/>
          <w:szCs w:val="32"/>
        </w:rPr>
        <w:t>海口、儋州、万宁、澄迈、屯昌、定安、陵水各3家；东方、乐东、临高各2家；三亚、文昌、琼海、保亭、昌江、白沙、琼中、洋浦各1家。</w:t>
      </w:r>
    </w:p>
    <w:p>
      <w:pPr>
        <w:pStyle w:val="3"/>
      </w:pPr>
      <w:bookmarkStart w:id="7" w:name="_Toc89418892"/>
      <w:r>
        <w:rPr>
          <w:rFonts w:hint="eastAsia"/>
        </w:rPr>
        <w:t>2</w:t>
      </w:r>
      <w:r>
        <w:t>.2 风险分析</w:t>
      </w:r>
      <w:bookmarkEnd w:id="7"/>
    </w:p>
    <w:p>
      <w:pPr>
        <w:ind w:firstLine="594"/>
      </w:pPr>
      <w:r>
        <w:rPr>
          <w:rFonts w:hint="eastAsia"/>
        </w:rPr>
        <w:t>烟花爆竹主要原料有氧化剂（硝酸盐、高氯酸钾、氯酸钾、氧化铜）、可燃物（铝粉、铝镁合金、硫磺）、粘合剂（树脂）等，这些物质多具有易燃易爆、有毒有害等风险因素。</w:t>
      </w:r>
    </w:p>
    <w:p>
      <w:pPr>
        <w:ind w:firstLine="594"/>
      </w:pPr>
      <w:r>
        <w:rPr>
          <w:rFonts w:hint="eastAsia"/>
        </w:rPr>
        <w:t>烟花爆竹产品分散装成品和包装成箱成品。散装成品危险性较大，易燃烧、爆炸。成箱后的产品由于多层包装，在外包装箱上已无药物，也不存在裸露的引火线，安全性相对较高。成箱后产品主要危险因素是搬运过程中的失手、落地等与地面产生碰撞，有可能发生产品爆炸。</w:t>
      </w:r>
    </w:p>
    <w:p>
      <w:pPr>
        <w:pStyle w:val="2"/>
      </w:pPr>
      <w:bookmarkStart w:id="8" w:name="_Toc89418893"/>
      <w:r>
        <w:rPr>
          <w:rFonts w:hint="eastAsia"/>
        </w:rPr>
        <w:t>3</w:t>
      </w:r>
      <w:r>
        <w:t xml:space="preserve"> 组织体系及职责</w:t>
      </w:r>
      <w:bookmarkEnd w:id="8"/>
    </w:p>
    <w:p>
      <w:pPr>
        <w:pStyle w:val="3"/>
      </w:pPr>
      <w:bookmarkStart w:id="9" w:name="_Toc89418894"/>
      <w:r>
        <w:rPr>
          <w:rFonts w:hint="eastAsia"/>
        </w:rPr>
        <w:t>3</w:t>
      </w:r>
      <w:r>
        <w:t xml:space="preserve">.1 </w:t>
      </w:r>
      <w:r>
        <w:rPr>
          <w:rFonts w:hint="eastAsia"/>
        </w:rPr>
        <w:t>应急组织机构</w:t>
      </w:r>
      <w:bookmarkEnd w:id="9"/>
    </w:p>
    <w:p>
      <w:pPr>
        <w:ind w:firstLine="594"/>
        <w:sectPr>
          <w:headerReference r:id="rId10" w:type="default"/>
          <w:footerReference r:id="rId11" w:type="default"/>
          <w:pgSz w:w="11906" w:h="16838"/>
          <w:pgMar w:top="2098" w:right="1797" w:bottom="1588" w:left="1797" w:header="567" w:footer="0" w:gutter="0"/>
          <w:pgNumType w:fmt="numberInDash" w:start="1"/>
          <w:cols w:space="425" w:num="1"/>
          <w:docGrid w:type="linesAndChars" w:linePitch="597" w:charSpace="-4740"/>
        </w:sectPr>
      </w:pPr>
      <w:r>
        <w:rPr>
          <w:rFonts w:hint="eastAsia"/>
        </w:rPr>
        <w:t>重大、特别重大烟花爆竹生产安全事故发生后，在省人民政府的统一领导下，成立海南省烟花爆竹生产安全事故应急指挥部（简称“省指挥部”），并根据现场实际需要成立海南省烟花爆竹生产安全事故现场救援指挥部（简称“现场指挥部”）。</w:t>
      </w:r>
    </w:p>
    <w:p>
      <w:pPr>
        <w:spacing w:line="240" w:lineRule="auto"/>
        <w:ind w:firstLine="0" w:firstLineChars="0"/>
        <w:sectPr>
          <w:pgSz w:w="16838" w:h="11906" w:orient="landscape"/>
          <w:pgMar w:top="1588" w:right="1134" w:bottom="1134" w:left="1134" w:header="567" w:footer="0" w:gutter="0"/>
          <w:pgNumType w:fmt="numberInDash"/>
          <w:cols w:space="425" w:num="1"/>
          <w:docGrid w:type="linesAndChars" w:linePitch="326" w:charSpace="0"/>
        </w:sectPr>
      </w:pPr>
      <w:r>
        <w:object>
          <v:shape id="_x0000_i1025" o:spt="75" type="#_x0000_t75" style="height:422.5pt;width:727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pStyle w:val="3"/>
      </w:pPr>
      <w:bookmarkStart w:id="10" w:name="_Toc89418895"/>
      <w:r>
        <w:rPr>
          <w:rFonts w:hint="eastAsia"/>
        </w:rPr>
        <w:t>3</w:t>
      </w:r>
      <w:r>
        <w:t>.</w:t>
      </w:r>
      <w:r>
        <w:rPr>
          <w:rFonts w:hint="eastAsia"/>
        </w:rPr>
        <w:t>2</w:t>
      </w:r>
      <w:r>
        <w:t xml:space="preserve"> </w:t>
      </w:r>
      <w:r>
        <w:rPr>
          <w:rFonts w:hint="eastAsia"/>
        </w:rPr>
        <w:t>省指挥部</w:t>
      </w:r>
      <w:bookmarkEnd w:id="10"/>
    </w:p>
    <w:p>
      <w:pPr>
        <w:ind w:firstLine="594"/>
      </w:pPr>
      <w:r>
        <w:rPr>
          <w:rFonts w:hint="eastAsia"/>
        </w:rPr>
        <w:t>省指挥部是发生重大、特别重大烟花爆竹生产安全事故后成立的应急机构，由分管应急管理工作的副省长任省总指挥,应急厅主要负责人和事发地市县人民政府、洋浦经济开发区管委会的主要领导任省副总指挥，成员由省应急厅、省公安厅、省交通运输厅、省生态环境厅、省住建厅、省卫健委、省委宣传部、省消防救援总队等主要部门相关负责人组成。省指挥部成员应按实际救援要求，增减有关部门相关负责人。</w:t>
      </w:r>
    </w:p>
    <w:p>
      <w:pPr>
        <w:ind w:firstLine="594"/>
      </w:pPr>
      <w:r>
        <w:rPr>
          <w:rFonts w:hint="eastAsia"/>
        </w:rPr>
        <w:t>省指挥部的职责是指导协调市县人民政府、洋浦经济开发区管委会开展应急救援工作；指挥协调省安委会有关成员单位和省级应急救援力量参与救援工作；研究解决烟花爆竹生产安全事故应急救援工作重大事项。主要成员单位职责如下：</w:t>
      </w:r>
    </w:p>
    <w:p>
      <w:pPr>
        <w:ind w:firstLine="594"/>
      </w:pPr>
      <w:r>
        <w:rPr>
          <w:rFonts w:hint="eastAsia"/>
        </w:rPr>
        <w:t>省应急厅:负责协调、指导有关单位做好烟花爆竹生产安全事故应急响应，协调省内相关单位做好应急救援工作并为事故应急工作提供相应支持。</w:t>
      </w:r>
    </w:p>
    <w:p>
      <w:pPr>
        <w:ind w:firstLine="594"/>
      </w:pPr>
      <w:r>
        <w:rPr>
          <w:rFonts w:hint="eastAsia"/>
        </w:rPr>
        <w:t>省公安厅:负责人员疏散和事故现场警戒以及人员撤离区域的治安管理，负责事故现场扑灭火灾，组织伤员的搜救，负责事故现场区域周边道路的交通管控工作。</w:t>
      </w:r>
    </w:p>
    <w:p>
      <w:pPr>
        <w:ind w:firstLine="594"/>
      </w:pPr>
      <w:r>
        <w:rPr>
          <w:rFonts w:hint="eastAsia"/>
        </w:rPr>
        <w:t>省交通运输厅:负责开通应急特别通道，保障救援队伍和物资等及时到达事故现场实施救援。</w:t>
      </w:r>
    </w:p>
    <w:p>
      <w:pPr>
        <w:ind w:firstLine="594"/>
      </w:pPr>
      <w:r>
        <w:rPr>
          <w:rFonts w:hint="eastAsia"/>
        </w:rPr>
        <w:t>省生态环境厅：指导协调事故现场及周边地区的应急环境监测工作。</w:t>
      </w:r>
    </w:p>
    <w:p>
      <w:pPr>
        <w:ind w:firstLine="594"/>
      </w:pPr>
      <w:r>
        <w:rPr>
          <w:rFonts w:hint="eastAsia"/>
        </w:rPr>
        <w:t>省住建厅：指导协调因烟花爆竹生产安全事故造成房屋建筑和市政工程受损的应急处置工作。</w:t>
      </w:r>
    </w:p>
    <w:p>
      <w:pPr>
        <w:ind w:firstLine="594"/>
      </w:pPr>
      <w:r>
        <w:rPr>
          <w:rFonts w:hint="eastAsia"/>
        </w:rPr>
        <w:t>省卫健委:负责组织、协调各级卫生部门开展医疗救治和保护公众健康工作，统计、通报受伤人员的医疗救治情况。</w:t>
      </w:r>
    </w:p>
    <w:p>
      <w:pPr>
        <w:ind w:firstLine="594"/>
      </w:pPr>
      <w:r>
        <w:rPr>
          <w:rFonts w:hint="eastAsia"/>
        </w:rPr>
        <w:t>省委宣传部:负责事故发生后的新闻发布和报道工作。</w:t>
      </w:r>
    </w:p>
    <w:p>
      <w:pPr>
        <w:spacing w:line="560" w:lineRule="exact"/>
        <w:ind w:firstLine="594"/>
      </w:pPr>
      <w:r>
        <w:rPr>
          <w:rFonts w:hint="eastAsia"/>
        </w:rPr>
        <w:t>省消防救援总队:负责指挥烟花爆竹生产安全事故消防救援处置工作。</w:t>
      </w:r>
    </w:p>
    <w:p>
      <w:pPr>
        <w:pStyle w:val="3"/>
      </w:pPr>
      <w:bookmarkStart w:id="11" w:name="_Toc89418896"/>
      <w:r>
        <w:rPr>
          <w:rFonts w:hint="eastAsia"/>
        </w:rPr>
        <w:t>3</w:t>
      </w:r>
      <w:r>
        <w:t>.</w:t>
      </w:r>
      <w:r>
        <w:rPr>
          <w:rFonts w:hint="eastAsia"/>
        </w:rPr>
        <w:t>3</w:t>
      </w:r>
      <w:r>
        <w:t xml:space="preserve"> </w:t>
      </w:r>
      <w:r>
        <w:rPr>
          <w:rFonts w:hint="eastAsia"/>
        </w:rPr>
        <w:t>现场指挥部</w:t>
      </w:r>
      <w:bookmarkEnd w:id="11"/>
    </w:p>
    <w:p>
      <w:pPr>
        <w:spacing w:line="540" w:lineRule="exact"/>
        <w:ind w:firstLine="594"/>
      </w:pPr>
      <w:r>
        <w:rPr>
          <w:rFonts w:hint="eastAsia"/>
        </w:rPr>
        <w:t>现场指挥部是发生重大、特别重大烟花爆竹生产安全事故（以及1.4条规定的其他事故范围）后，由省指挥部成立的应急机构，现场指挥长由省指挥部指定人员担任，成员由事发地市县人民政府（洋浦经济开发区管委会）、省安委会有关部门、救援队伍、事发企业等有关负责人及应急专家组成。</w:t>
      </w:r>
    </w:p>
    <w:p>
      <w:pPr>
        <w:spacing w:line="540" w:lineRule="exact"/>
        <w:ind w:firstLine="594"/>
      </w:pPr>
      <w:r>
        <w:rPr>
          <w:rFonts w:hint="eastAsia"/>
        </w:rPr>
        <w:t>现场指挥部具体负责事故的应急救援工作：制定事故应急救援方案，指挥协调应急救援力量开展救援，及时向省指挥部报告事故发展态势及救援情况，落实省指挥部交办的其他事宜。</w:t>
      </w:r>
    </w:p>
    <w:p>
      <w:pPr>
        <w:spacing w:line="540" w:lineRule="exact"/>
        <w:ind w:firstLine="594"/>
        <w:sectPr>
          <w:pgSz w:w="11906" w:h="16838"/>
          <w:pgMar w:top="2098" w:right="1797" w:bottom="1588" w:left="1797" w:header="567" w:footer="0" w:gutter="0"/>
          <w:pgNumType w:fmt="numberInDash"/>
          <w:cols w:space="425" w:num="1"/>
          <w:docGrid w:type="linesAndChars" w:linePitch="597" w:charSpace="-4740"/>
        </w:sectPr>
      </w:pPr>
      <w:r>
        <w:rPr>
          <w:rFonts w:hint="eastAsia"/>
        </w:rPr>
        <w:t>现场指挥部根据救援需要下设若干应急救援职能小组，具体分工和职责如下：</w:t>
      </w:r>
    </w:p>
    <w:tbl>
      <w:tblPr>
        <w:tblStyle w:val="31"/>
        <w:tblW w:w="14029"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02"/>
        <w:gridCol w:w="6407"/>
        <w:gridCol w:w="4024"/>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jc w:val="right"/>
        </w:trPr>
        <w:tc>
          <w:tcPr>
            <w:tcW w:w="14029" w:type="dxa"/>
            <w:gridSpan w:val="4"/>
            <w:shd w:val="clear" w:color="auto" w:fill="D9D9D9"/>
            <w:vAlign w:val="center"/>
          </w:tcPr>
          <w:p>
            <w:pPr>
              <w:pStyle w:val="42"/>
              <w:spacing w:line="240" w:lineRule="auto"/>
              <w:ind w:firstLine="0" w:firstLineChars="0"/>
              <w:jc w:val="center"/>
              <w:rPr>
                <w:b/>
                <w:sz w:val="24"/>
                <w:szCs w:val="21"/>
                <w:lang w:eastAsia="en-US"/>
              </w:rPr>
            </w:pPr>
            <w:r>
              <w:rPr>
                <w:rFonts w:hint="eastAsia"/>
                <w:b/>
                <w:sz w:val="24"/>
                <w:szCs w:val="21"/>
                <w:lang w:eastAsia="en-US"/>
              </w:rPr>
              <w:t>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blHeader/>
          <w:jc w:val="right"/>
        </w:trPr>
        <w:tc>
          <w:tcPr>
            <w:tcW w:w="2002"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应急岗位</w:t>
            </w:r>
          </w:p>
        </w:tc>
        <w:tc>
          <w:tcPr>
            <w:tcW w:w="6407"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主要职责</w:t>
            </w:r>
          </w:p>
        </w:tc>
        <w:tc>
          <w:tcPr>
            <w:tcW w:w="4024" w:type="dxa"/>
            <w:shd w:val="clear" w:color="auto" w:fill="D9D9D9"/>
            <w:vAlign w:val="center"/>
          </w:tcPr>
          <w:p>
            <w:pPr>
              <w:pStyle w:val="42"/>
              <w:spacing w:line="240" w:lineRule="auto"/>
              <w:ind w:firstLine="0" w:firstLineChars="0"/>
              <w:jc w:val="center"/>
              <w:rPr>
                <w:b/>
                <w:sz w:val="24"/>
                <w:szCs w:val="21"/>
                <w:lang w:eastAsia="en-US"/>
              </w:rPr>
            </w:pPr>
            <w:r>
              <w:rPr>
                <w:rFonts w:hint="eastAsia"/>
                <w:b/>
                <w:sz w:val="24"/>
                <w:szCs w:val="21"/>
                <w:lang w:eastAsia="en-US"/>
              </w:rPr>
              <w:t>组成成员</w:t>
            </w:r>
          </w:p>
        </w:tc>
        <w:tc>
          <w:tcPr>
            <w:tcW w:w="1596"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6"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现场指挥长</w:t>
            </w:r>
          </w:p>
        </w:tc>
        <w:tc>
          <w:tcPr>
            <w:tcW w:w="6407" w:type="dxa"/>
            <w:shd w:val="clear" w:color="auto" w:fill="auto"/>
            <w:vAlign w:val="center"/>
          </w:tcPr>
          <w:p>
            <w:pPr>
              <w:pStyle w:val="42"/>
              <w:numPr>
                <w:ilvl w:val="0"/>
                <w:numId w:val="1"/>
              </w:numPr>
              <w:spacing w:line="240" w:lineRule="auto"/>
              <w:ind w:firstLineChars="0"/>
              <w:rPr>
                <w:sz w:val="21"/>
                <w:szCs w:val="21"/>
              </w:rPr>
            </w:pPr>
            <w:r>
              <w:rPr>
                <w:rFonts w:hint="eastAsia"/>
                <w:sz w:val="21"/>
                <w:szCs w:val="21"/>
              </w:rPr>
              <w:t>全面负责现场应急救援处置工作</w:t>
            </w:r>
          </w:p>
          <w:p>
            <w:pPr>
              <w:pStyle w:val="42"/>
              <w:numPr>
                <w:ilvl w:val="0"/>
                <w:numId w:val="1"/>
              </w:numPr>
              <w:spacing w:line="240" w:lineRule="auto"/>
              <w:ind w:firstLineChars="0"/>
              <w:rPr>
                <w:sz w:val="21"/>
                <w:szCs w:val="21"/>
              </w:rPr>
            </w:pPr>
            <w:r>
              <w:rPr>
                <w:rFonts w:hint="eastAsia"/>
                <w:sz w:val="21"/>
                <w:szCs w:val="21"/>
              </w:rPr>
              <w:t>执行省指挥部有关应急决策</w:t>
            </w:r>
          </w:p>
          <w:p>
            <w:pPr>
              <w:pStyle w:val="42"/>
              <w:numPr>
                <w:ilvl w:val="0"/>
                <w:numId w:val="1"/>
              </w:numPr>
              <w:spacing w:line="240" w:lineRule="auto"/>
              <w:ind w:firstLineChars="0"/>
              <w:rPr>
                <w:sz w:val="21"/>
                <w:szCs w:val="21"/>
              </w:rPr>
            </w:pPr>
            <w:r>
              <w:rPr>
                <w:rFonts w:hint="eastAsia"/>
                <w:sz w:val="21"/>
                <w:szCs w:val="21"/>
              </w:rPr>
              <w:t>负责应急整体安全、制定应急策略及救援计划</w:t>
            </w:r>
          </w:p>
          <w:p>
            <w:pPr>
              <w:pStyle w:val="42"/>
              <w:numPr>
                <w:ilvl w:val="0"/>
                <w:numId w:val="1"/>
              </w:numPr>
              <w:spacing w:line="240" w:lineRule="auto"/>
              <w:ind w:firstLineChars="0"/>
              <w:rPr>
                <w:sz w:val="21"/>
                <w:szCs w:val="21"/>
              </w:rPr>
            </w:pPr>
            <w:r>
              <w:rPr>
                <w:rFonts w:hint="eastAsia"/>
                <w:sz w:val="21"/>
                <w:szCs w:val="21"/>
              </w:rPr>
              <w:t>确保所有应急小组履行应急职责</w:t>
            </w:r>
          </w:p>
        </w:tc>
        <w:tc>
          <w:tcPr>
            <w:tcW w:w="4024" w:type="dxa"/>
            <w:shd w:val="clear" w:color="auto" w:fill="auto"/>
            <w:vAlign w:val="center"/>
          </w:tcPr>
          <w:p>
            <w:pPr>
              <w:pStyle w:val="42"/>
              <w:spacing w:line="240" w:lineRule="auto"/>
              <w:ind w:firstLine="0" w:firstLineChars="0"/>
              <w:rPr>
                <w:sz w:val="21"/>
                <w:szCs w:val="21"/>
                <w:lang w:eastAsia="en-US"/>
              </w:rPr>
            </w:pPr>
            <w:r>
              <w:rPr>
                <w:sz w:val="21"/>
                <w:szCs w:val="21"/>
                <w:lang w:eastAsia="en-US"/>
              </w:rPr>
              <w:t>由省指挥部指定</w:t>
            </w:r>
          </w:p>
        </w:tc>
        <w:tc>
          <w:tcPr>
            <w:tcW w:w="1596" w:type="dxa"/>
            <w:shd w:val="clear" w:color="auto" w:fill="auto"/>
            <w:vAlign w:val="center"/>
          </w:tcPr>
          <w:p>
            <w:pPr>
              <w:spacing w:line="240" w:lineRule="auto"/>
              <w:ind w:firstLine="0" w:firstLineChars="0"/>
              <w:rPr>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sz w:val="21"/>
                <w:szCs w:val="21"/>
                <w:lang w:eastAsia="en-US"/>
              </w:rPr>
              <w:t>分析研判组</w:t>
            </w:r>
          </w:p>
        </w:tc>
        <w:tc>
          <w:tcPr>
            <w:tcW w:w="6407" w:type="dxa"/>
            <w:shd w:val="clear" w:color="auto" w:fill="auto"/>
            <w:vAlign w:val="center"/>
          </w:tcPr>
          <w:p>
            <w:pPr>
              <w:pStyle w:val="42"/>
              <w:numPr>
                <w:ilvl w:val="0"/>
                <w:numId w:val="2"/>
              </w:numPr>
              <w:spacing w:line="240" w:lineRule="auto"/>
              <w:ind w:firstLineChars="0"/>
              <w:rPr>
                <w:sz w:val="21"/>
                <w:szCs w:val="21"/>
              </w:rPr>
            </w:pPr>
            <w:r>
              <w:rPr>
                <w:rFonts w:hint="eastAsia"/>
                <w:sz w:val="21"/>
                <w:szCs w:val="21"/>
              </w:rPr>
              <w:t>为应急救援行动的决策提供技术支持</w:t>
            </w:r>
          </w:p>
          <w:p>
            <w:pPr>
              <w:pStyle w:val="42"/>
              <w:numPr>
                <w:ilvl w:val="0"/>
                <w:numId w:val="2"/>
              </w:numPr>
              <w:spacing w:line="240" w:lineRule="auto"/>
              <w:ind w:firstLineChars="0"/>
              <w:rPr>
                <w:sz w:val="21"/>
                <w:szCs w:val="21"/>
              </w:rPr>
            </w:pPr>
            <w:r>
              <w:rPr>
                <w:rFonts w:hint="eastAsia"/>
                <w:sz w:val="21"/>
                <w:szCs w:val="21"/>
              </w:rPr>
              <w:t>对事故发展趋势、抢险救援方案提出建议</w:t>
            </w:r>
          </w:p>
          <w:p>
            <w:pPr>
              <w:pStyle w:val="42"/>
              <w:numPr>
                <w:ilvl w:val="0"/>
                <w:numId w:val="2"/>
              </w:numPr>
              <w:spacing w:line="240" w:lineRule="auto"/>
              <w:ind w:firstLineChars="0"/>
              <w:rPr>
                <w:sz w:val="21"/>
                <w:szCs w:val="21"/>
              </w:rPr>
            </w:pPr>
            <w:r>
              <w:rPr>
                <w:rFonts w:hint="eastAsia"/>
                <w:sz w:val="21"/>
                <w:szCs w:val="21"/>
              </w:rPr>
              <w:t>对涉事区域进行环境监测工作</w:t>
            </w:r>
          </w:p>
          <w:p>
            <w:pPr>
              <w:pStyle w:val="42"/>
              <w:numPr>
                <w:ilvl w:val="0"/>
                <w:numId w:val="2"/>
              </w:numPr>
              <w:spacing w:line="240" w:lineRule="auto"/>
              <w:ind w:firstLineChars="0"/>
              <w:rPr>
                <w:sz w:val="21"/>
                <w:szCs w:val="21"/>
              </w:rPr>
            </w:pPr>
            <w:r>
              <w:rPr>
                <w:rFonts w:hint="eastAsia"/>
                <w:sz w:val="21"/>
                <w:szCs w:val="21"/>
              </w:rPr>
              <w:t>提出控制污染扩散建议，防止发生环境污染次生灾害</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省应急厅、省生态环境厅、省气象局、省市场监管局、事发地人民政府等部门和单位、应急专家</w:t>
            </w:r>
          </w:p>
        </w:tc>
        <w:tc>
          <w:tcPr>
            <w:tcW w:w="159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交通管控</w:t>
            </w:r>
            <w:r>
              <w:rPr>
                <w:sz w:val="21"/>
                <w:szCs w:val="21"/>
                <w:lang w:eastAsia="en-US"/>
              </w:rPr>
              <w:t>组</w:t>
            </w:r>
          </w:p>
        </w:tc>
        <w:tc>
          <w:tcPr>
            <w:tcW w:w="6407" w:type="dxa"/>
            <w:shd w:val="clear" w:color="auto" w:fill="auto"/>
            <w:vAlign w:val="center"/>
          </w:tcPr>
          <w:p>
            <w:pPr>
              <w:pStyle w:val="42"/>
              <w:numPr>
                <w:ilvl w:val="0"/>
                <w:numId w:val="3"/>
              </w:numPr>
              <w:spacing w:line="240" w:lineRule="auto"/>
              <w:ind w:firstLineChars="0"/>
              <w:rPr>
                <w:sz w:val="21"/>
                <w:szCs w:val="21"/>
              </w:rPr>
            </w:pPr>
            <w:r>
              <w:rPr>
                <w:rFonts w:hint="eastAsia"/>
                <w:sz w:val="21"/>
                <w:szCs w:val="21"/>
              </w:rPr>
              <w:t>组织事故可能危及区域有关人员的紧急疏散、撤离</w:t>
            </w:r>
          </w:p>
          <w:p>
            <w:pPr>
              <w:pStyle w:val="42"/>
              <w:numPr>
                <w:ilvl w:val="0"/>
                <w:numId w:val="3"/>
              </w:numPr>
              <w:spacing w:line="240" w:lineRule="auto"/>
              <w:ind w:firstLineChars="0"/>
              <w:rPr>
                <w:sz w:val="21"/>
                <w:szCs w:val="21"/>
              </w:rPr>
            </w:pPr>
            <w:r>
              <w:rPr>
                <w:rFonts w:hint="eastAsia"/>
                <w:sz w:val="21"/>
                <w:szCs w:val="21"/>
              </w:rPr>
              <w:t>保护事故现场，维护现场秩序</w:t>
            </w:r>
          </w:p>
          <w:p>
            <w:pPr>
              <w:pStyle w:val="42"/>
              <w:numPr>
                <w:ilvl w:val="0"/>
                <w:numId w:val="3"/>
              </w:numPr>
              <w:spacing w:line="240" w:lineRule="auto"/>
              <w:ind w:firstLineChars="0"/>
              <w:rPr>
                <w:sz w:val="21"/>
                <w:szCs w:val="21"/>
              </w:rPr>
            </w:pPr>
            <w:r>
              <w:rPr>
                <w:rFonts w:hint="eastAsia"/>
                <w:sz w:val="21"/>
                <w:szCs w:val="21"/>
              </w:rPr>
              <w:t>根据实际情况实行交通管控和疏导，开辟应急通道，保障应急处置人员、车辆和物资装备的应急通行需要</w:t>
            </w:r>
          </w:p>
          <w:p>
            <w:pPr>
              <w:pStyle w:val="42"/>
              <w:numPr>
                <w:ilvl w:val="0"/>
                <w:numId w:val="3"/>
              </w:numPr>
              <w:spacing w:line="240" w:lineRule="auto"/>
              <w:ind w:firstLineChars="0"/>
              <w:rPr>
                <w:sz w:val="21"/>
                <w:szCs w:val="21"/>
              </w:rPr>
            </w:pPr>
            <w:r>
              <w:rPr>
                <w:rFonts w:hint="eastAsia"/>
                <w:sz w:val="21"/>
                <w:szCs w:val="21"/>
              </w:rPr>
              <w:t>尽快恢复被毁交通路线</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省公安厅、省交通运输厅、事发地人民政府等部门和单位</w:t>
            </w:r>
          </w:p>
        </w:tc>
        <w:tc>
          <w:tcPr>
            <w:tcW w:w="1596" w:type="dxa"/>
            <w:shd w:val="clear" w:color="auto" w:fill="auto"/>
            <w:vAlign w:val="center"/>
          </w:tcPr>
          <w:p>
            <w:pPr>
              <w:pStyle w:val="42"/>
              <w:spacing w:line="240" w:lineRule="auto"/>
              <w:ind w:firstLine="0" w:firstLineChars="0"/>
              <w:rPr>
                <w:sz w:val="21"/>
                <w:szCs w:val="21"/>
                <w:lang w:eastAsia="en-US"/>
              </w:rPr>
            </w:pPr>
            <w:r>
              <w:rPr>
                <w:sz w:val="21"/>
                <w:szCs w:val="21"/>
                <w:lang w:eastAsia="en-US"/>
              </w:rPr>
              <w:t>省公安厅牵头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42" w:hRule="atLeas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综合协调组</w:t>
            </w:r>
          </w:p>
        </w:tc>
        <w:tc>
          <w:tcPr>
            <w:tcW w:w="6407" w:type="dxa"/>
            <w:shd w:val="clear" w:color="auto" w:fill="auto"/>
            <w:vAlign w:val="center"/>
          </w:tcPr>
          <w:p>
            <w:pPr>
              <w:pStyle w:val="42"/>
              <w:numPr>
                <w:ilvl w:val="0"/>
                <w:numId w:val="4"/>
              </w:numPr>
              <w:spacing w:line="240" w:lineRule="auto"/>
              <w:ind w:firstLineChars="0"/>
              <w:rPr>
                <w:sz w:val="21"/>
                <w:szCs w:val="21"/>
              </w:rPr>
            </w:pPr>
            <w:r>
              <w:rPr>
                <w:rFonts w:hint="eastAsia"/>
                <w:sz w:val="21"/>
                <w:szCs w:val="21"/>
              </w:rPr>
              <w:t>承担现场指挥部信息收集、指令的接收和转发</w:t>
            </w:r>
          </w:p>
          <w:p>
            <w:pPr>
              <w:pStyle w:val="42"/>
              <w:numPr>
                <w:ilvl w:val="0"/>
                <w:numId w:val="4"/>
              </w:numPr>
              <w:spacing w:line="240" w:lineRule="auto"/>
              <w:ind w:firstLineChars="0"/>
              <w:rPr>
                <w:sz w:val="21"/>
                <w:szCs w:val="21"/>
              </w:rPr>
            </w:pPr>
            <w:r>
              <w:rPr>
                <w:rFonts w:hint="eastAsia"/>
                <w:sz w:val="21"/>
                <w:szCs w:val="21"/>
              </w:rPr>
              <w:t>及时向省指挥部汇报现场救援情况</w:t>
            </w:r>
          </w:p>
          <w:p>
            <w:pPr>
              <w:pStyle w:val="42"/>
              <w:numPr>
                <w:ilvl w:val="0"/>
                <w:numId w:val="4"/>
              </w:numPr>
              <w:spacing w:line="240" w:lineRule="auto"/>
              <w:ind w:firstLineChars="0"/>
              <w:rPr>
                <w:sz w:val="21"/>
                <w:szCs w:val="21"/>
              </w:rPr>
            </w:pPr>
            <w:r>
              <w:rPr>
                <w:rFonts w:hint="eastAsia"/>
                <w:sz w:val="21"/>
                <w:szCs w:val="21"/>
              </w:rPr>
              <w:t>协调各方应急救援力量和资源</w:t>
            </w:r>
          </w:p>
          <w:p>
            <w:pPr>
              <w:pStyle w:val="42"/>
              <w:numPr>
                <w:ilvl w:val="0"/>
                <w:numId w:val="4"/>
              </w:numPr>
              <w:spacing w:line="240" w:lineRule="auto"/>
              <w:ind w:firstLineChars="0"/>
              <w:rPr>
                <w:sz w:val="21"/>
                <w:szCs w:val="21"/>
              </w:rPr>
            </w:pPr>
            <w:r>
              <w:rPr>
                <w:rFonts w:hint="eastAsia"/>
                <w:sz w:val="21"/>
                <w:szCs w:val="21"/>
              </w:rPr>
              <w:t>承办现场指挥部各类会议，督促落实现场指挥部议定事项</w:t>
            </w:r>
          </w:p>
          <w:p>
            <w:pPr>
              <w:pStyle w:val="42"/>
              <w:numPr>
                <w:ilvl w:val="0"/>
                <w:numId w:val="4"/>
              </w:numPr>
              <w:spacing w:line="240" w:lineRule="auto"/>
              <w:ind w:firstLineChars="0"/>
              <w:rPr>
                <w:sz w:val="21"/>
                <w:szCs w:val="21"/>
              </w:rPr>
            </w:pPr>
            <w:r>
              <w:rPr>
                <w:rFonts w:hint="eastAsia"/>
                <w:sz w:val="21"/>
                <w:szCs w:val="21"/>
              </w:rPr>
              <w:t>做好相关文件、影像资料的收集、整理、保管和归档等工作</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省应急厅、省公安厅、省交通运输厅、事发地人民政府等部门和单位</w:t>
            </w:r>
          </w:p>
        </w:tc>
        <w:tc>
          <w:tcPr>
            <w:tcW w:w="159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9"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sz w:val="21"/>
                <w:szCs w:val="21"/>
                <w:lang w:eastAsia="en-US"/>
              </w:rPr>
              <w:t>后勤保障组</w:t>
            </w:r>
          </w:p>
        </w:tc>
        <w:tc>
          <w:tcPr>
            <w:tcW w:w="6407" w:type="dxa"/>
            <w:shd w:val="clear" w:color="auto" w:fill="auto"/>
            <w:vAlign w:val="center"/>
          </w:tcPr>
          <w:p>
            <w:pPr>
              <w:pStyle w:val="42"/>
              <w:numPr>
                <w:ilvl w:val="0"/>
                <w:numId w:val="5"/>
              </w:numPr>
              <w:spacing w:line="240" w:lineRule="auto"/>
              <w:ind w:firstLineChars="0"/>
              <w:rPr>
                <w:sz w:val="21"/>
                <w:szCs w:val="21"/>
              </w:rPr>
            </w:pPr>
            <w:r>
              <w:rPr>
                <w:rFonts w:hint="eastAsia"/>
                <w:sz w:val="21"/>
                <w:szCs w:val="21"/>
              </w:rPr>
              <w:t>根据事故处置工作需求，及时提供物资、装备、食品、交通、供电、供水、供气和通信等方面的后勤服务和资源保障</w:t>
            </w:r>
          </w:p>
          <w:p>
            <w:pPr>
              <w:pStyle w:val="42"/>
              <w:numPr>
                <w:ilvl w:val="0"/>
                <w:numId w:val="5"/>
              </w:numPr>
              <w:spacing w:line="240" w:lineRule="auto"/>
              <w:ind w:firstLineChars="0"/>
              <w:rPr>
                <w:sz w:val="21"/>
                <w:szCs w:val="21"/>
              </w:rPr>
            </w:pPr>
            <w:r>
              <w:rPr>
                <w:rFonts w:hint="eastAsia"/>
                <w:sz w:val="21"/>
                <w:szCs w:val="21"/>
              </w:rPr>
              <w:t>负责受灾群众、遇难（失联）人员亲属信息登记、食宿接待和安抚疏导等工作</w:t>
            </w:r>
          </w:p>
          <w:p>
            <w:pPr>
              <w:pStyle w:val="42"/>
              <w:numPr>
                <w:ilvl w:val="0"/>
                <w:numId w:val="5"/>
              </w:numPr>
              <w:spacing w:line="240" w:lineRule="auto"/>
              <w:ind w:firstLineChars="0"/>
              <w:rPr>
                <w:sz w:val="21"/>
                <w:szCs w:val="21"/>
              </w:rPr>
            </w:pPr>
            <w:r>
              <w:rPr>
                <w:rFonts w:hint="eastAsia"/>
                <w:sz w:val="21"/>
                <w:szCs w:val="21"/>
              </w:rPr>
              <w:t>负责遇难者遗体处置等工作</w:t>
            </w:r>
          </w:p>
          <w:p>
            <w:pPr>
              <w:pStyle w:val="42"/>
              <w:numPr>
                <w:ilvl w:val="0"/>
                <w:numId w:val="5"/>
              </w:numPr>
              <w:spacing w:line="240" w:lineRule="auto"/>
              <w:ind w:firstLineChars="0"/>
              <w:rPr>
                <w:sz w:val="21"/>
                <w:szCs w:val="21"/>
              </w:rPr>
            </w:pPr>
            <w:r>
              <w:rPr>
                <w:rFonts w:hint="eastAsia"/>
                <w:sz w:val="21"/>
                <w:szCs w:val="21"/>
              </w:rPr>
              <w:t>负责遇难和受灾人员的经济补偿等工作</w:t>
            </w:r>
          </w:p>
          <w:p>
            <w:pPr>
              <w:pStyle w:val="42"/>
              <w:numPr>
                <w:ilvl w:val="0"/>
                <w:numId w:val="5"/>
              </w:numPr>
              <w:spacing w:line="240" w:lineRule="auto"/>
              <w:ind w:firstLineChars="0"/>
              <w:rPr>
                <w:sz w:val="21"/>
                <w:szCs w:val="21"/>
              </w:rPr>
            </w:pPr>
            <w:r>
              <w:rPr>
                <w:rFonts w:hint="eastAsia"/>
                <w:sz w:val="21"/>
                <w:szCs w:val="21"/>
              </w:rPr>
              <w:t>负责灾后恢复重建等工作</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省应急厅、省卫健委、省财政厅、省工信厅、海南电网公司、省通信管理局、事发地人民政府等部门和单位</w:t>
            </w:r>
          </w:p>
        </w:tc>
        <w:tc>
          <w:tcPr>
            <w:tcW w:w="159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现场救援</w:t>
            </w:r>
            <w:r>
              <w:rPr>
                <w:sz w:val="21"/>
                <w:szCs w:val="21"/>
                <w:lang w:eastAsia="en-US"/>
              </w:rPr>
              <w:t>组</w:t>
            </w:r>
          </w:p>
        </w:tc>
        <w:tc>
          <w:tcPr>
            <w:tcW w:w="6407" w:type="dxa"/>
            <w:shd w:val="clear" w:color="auto" w:fill="auto"/>
            <w:vAlign w:val="center"/>
          </w:tcPr>
          <w:p>
            <w:pPr>
              <w:pStyle w:val="42"/>
              <w:numPr>
                <w:ilvl w:val="0"/>
                <w:numId w:val="6"/>
              </w:numPr>
              <w:spacing w:line="240" w:lineRule="auto"/>
              <w:ind w:firstLineChars="0"/>
              <w:rPr>
                <w:sz w:val="21"/>
                <w:szCs w:val="21"/>
              </w:rPr>
            </w:pPr>
            <w:r>
              <w:rPr>
                <w:rFonts w:hint="eastAsia"/>
                <w:sz w:val="21"/>
                <w:szCs w:val="21"/>
              </w:rPr>
              <w:t>实施事故处置、人员搜救、工程抢险和事故现场清理等工作</w:t>
            </w:r>
          </w:p>
          <w:p>
            <w:pPr>
              <w:pStyle w:val="42"/>
              <w:numPr>
                <w:ilvl w:val="0"/>
                <w:numId w:val="6"/>
              </w:numPr>
              <w:spacing w:line="240" w:lineRule="auto"/>
              <w:ind w:firstLineChars="0"/>
              <w:rPr>
                <w:sz w:val="21"/>
                <w:szCs w:val="21"/>
              </w:rPr>
            </w:pPr>
            <w:r>
              <w:rPr>
                <w:rFonts w:hint="eastAsia"/>
                <w:sz w:val="21"/>
                <w:szCs w:val="21"/>
              </w:rPr>
              <w:t>控制危险源，防止次生、衍生事故发生</w:t>
            </w:r>
          </w:p>
          <w:p>
            <w:pPr>
              <w:pStyle w:val="42"/>
              <w:numPr>
                <w:ilvl w:val="0"/>
                <w:numId w:val="6"/>
              </w:numPr>
              <w:spacing w:line="240" w:lineRule="auto"/>
              <w:ind w:firstLineChars="0"/>
              <w:rPr>
                <w:sz w:val="21"/>
                <w:szCs w:val="21"/>
              </w:rPr>
            </w:pPr>
            <w:r>
              <w:rPr>
                <w:rFonts w:hint="eastAsia"/>
                <w:sz w:val="21"/>
                <w:szCs w:val="21"/>
              </w:rPr>
              <w:t>为事故调查收集有关资料</w:t>
            </w:r>
          </w:p>
          <w:p>
            <w:pPr>
              <w:pStyle w:val="42"/>
              <w:numPr>
                <w:ilvl w:val="0"/>
                <w:numId w:val="6"/>
              </w:numPr>
              <w:spacing w:line="240" w:lineRule="auto"/>
              <w:ind w:firstLineChars="0"/>
              <w:rPr>
                <w:sz w:val="21"/>
                <w:szCs w:val="21"/>
              </w:rPr>
            </w:pPr>
            <w:r>
              <w:rPr>
                <w:rFonts w:hint="eastAsia"/>
                <w:sz w:val="21"/>
                <w:szCs w:val="21"/>
              </w:rPr>
              <w:t>调度全省医疗队伍，设立临时医疗点，协调外部医疗机构</w:t>
            </w:r>
          </w:p>
          <w:p>
            <w:pPr>
              <w:pStyle w:val="42"/>
              <w:numPr>
                <w:ilvl w:val="0"/>
                <w:numId w:val="6"/>
              </w:numPr>
              <w:spacing w:line="240" w:lineRule="auto"/>
              <w:ind w:firstLineChars="0"/>
              <w:rPr>
                <w:sz w:val="21"/>
                <w:szCs w:val="21"/>
              </w:rPr>
            </w:pPr>
            <w:r>
              <w:rPr>
                <w:rFonts w:hint="eastAsia"/>
                <w:sz w:val="21"/>
                <w:szCs w:val="21"/>
              </w:rPr>
              <w:t>为事故受伤人员、救援人员提供医疗保障服务</w:t>
            </w:r>
          </w:p>
          <w:p>
            <w:pPr>
              <w:pStyle w:val="42"/>
              <w:numPr>
                <w:ilvl w:val="0"/>
                <w:numId w:val="6"/>
              </w:numPr>
              <w:spacing w:line="240" w:lineRule="auto"/>
              <w:ind w:firstLineChars="0"/>
              <w:rPr>
                <w:sz w:val="21"/>
                <w:szCs w:val="21"/>
              </w:rPr>
            </w:pPr>
            <w:r>
              <w:rPr>
                <w:rFonts w:hint="eastAsia"/>
                <w:sz w:val="21"/>
                <w:szCs w:val="21"/>
              </w:rPr>
              <w:t>负责现场救援区域的防疫消毒</w:t>
            </w:r>
          </w:p>
          <w:p>
            <w:pPr>
              <w:pStyle w:val="42"/>
              <w:numPr>
                <w:ilvl w:val="0"/>
                <w:numId w:val="6"/>
              </w:numPr>
              <w:spacing w:line="240" w:lineRule="auto"/>
              <w:ind w:firstLineChars="0"/>
              <w:rPr>
                <w:sz w:val="21"/>
                <w:szCs w:val="21"/>
              </w:rPr>
            </w:pPr>
            <w:r>
              <w:rPr>
                <w:rFonts w:hint="eastAsia"/>
                <w:sz w:val="21"/>
                <w:szCs w:val="21"/>
              </w:rPr>
              <w:t>向受伤人员和受灾群众提供心理咨询和帮助</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省消防救援总队、省卫健委、省交通运输厅、事发地人民政府等部门和单位、应急专家</w:t>
            </w:r>
          </w:p>
        </w:tc>
        <w:tc>
          <w:tcPr>
            <w:tcW w:w="1596" w:type="dxa"/>
            <w:shd w:val="clear" w:color="auto" w:fill="auto"/>
            <w:vAlign w:val="center"/>
          </w:tcPr>
          <w:p>
            <w:pPr>
              <w:pStyle w:val="42"/>
              <w:spacing w:line="240" w:lineRule="auto"/>
              <w:ind w:firstLine="0" w:firstLineChars="0"/>
              <w:rPr>
                <w:sz w:val="21"/>
                <w:szCs w:val="21"/>
              </w:rPr>
            </w:pPr>
            <w:r>
              <w:rPr>
                <w:rFonts w:hint="eastAsia"/>
                <w:sz w:val="21"/>
                <w:szCs w:val="21"/>
              </w:rPr>
              <w:t>事发地市县人民政府</w:t>
            </w:r>
            <w:r>
              <w:rPr>
                <w:sz w:val="21"/>
                <w:szCs w:val="21"/>
              </w:rPr>
              <w:t>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3" w:hRule="exact"/>
          <w:jc w:val="right"/>
        </w:trPr>
        <w:tc>
          <w:tcPr>
            <w:tcW w:w="2002"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新闻发布</w:t>
            </w:r>
            <w:r>
              <w:rPr>
                <w:sz w:val="21"/>
                <w:szCs w:val="21"/>
                <w:lang w:eastAsia="en-US"/>
              </w:rPr>
              <w:t>组</w:t>
            </w:r>
          </w:p>
        </w:tc>
        <w:tc>
          <w:tcPr>
            <w:tcW w:w="6407" w:type="dxa"/>
            <w:shd w:val="clear" w:color="auto" w:fill="auto"/>
            <w:vAlign w:val="center"/>
          </w:tcPr>
          <w:p>
            <w:pPr>
              <w:pStyle w:val="42"/>
              <w:numPr>
                <w:ilvl w:val="0"/>
                <w:numId w:val="7"/>
              </w:numPr>
              <w:spacing w:line="240" w:lineRule="auto"/>
              <w:ind w:firstLineChars="0"/>
              <w:rPr>
                <w:sz w:val="21"/>
                <w:szCs w:val="21"/>
              </w:rPr>
            </w:pPr>
            <w:r>
              <w:rPr>
                <w:rFonts w:hint="eastAsia"/>
                <w:sz w:val="21"/>
                <w:szCs w:val="21"/>
              </w:rPr>
              <w:t>统筹协调媒体的现场管理，做好事件舆论引导工作，组织新闻发布工作</w:t>
            </w:r>
          </w:p>
          <w:p>
            <w:pPr>
              <w:pStyle w:val="42"/>
              <w:numPr>
                <w:ilvl w:val="0"/>
                <w:numId w:val="7"/>
              </w:numPr>
              <w:spacing w:line="240" w:lineRule="auto"/>
              <w:ind w:firstLineChars="0"/>
              <w:rPr>
                <w:sz w:val="21"/>
                <w:szCs w:val="21"/>
              </w:rPr>
            </w:pPr>
            <w:r>
              <w:rPr>
                <w:rFonts w:hint="eastAsia"/>
                <w:sz w:val="21"/>
                <w:szCs w:val="21"/>
              </w:rPr>
              <w:t>负责新闻发布和集体采访活动的组织工作</w:t>
            </w:r>
          </w:p>
          <w:p>
            <w:pPr>
              <w:pStyle w:val="42"/>
              <w:numPr>
                <w:ilvl w:val="0"/>
                <w:numId w:val="7"/>
              </w:numPr>
              <w:spacing w:line="240" w:lineRule="auto"/>
              <w:ind w:firstLineChars="0"/>
              <w:rPr>
                <w:sz w:val="21"/>
                <w:szCs w:val="21"/>
              </w:rPr>
            </w:pPr>
            <w:r>
              <w:rPr>
                <w:rFonts w:hint="eastAsia"/>
                <w:sz w:val="21"/>
                <w:szCs w:val="21"/>
              </w:rPr>
              <w:t>负责境内外媒体沟通协调和组织联络工作</w:t>
            </w:r>
          </w:p>
          <w:p>
            <w:pPr>
              <w:pStyle w:val="42"/>
              <w:numPr>
                <w:ilvl w:val="0"/>
                <w:numId w:val="7"/>
              </w:numPr>
              <w:spacing w:line="240" w:lineRule="auto"/>
              <w:ind w:firstLineChars="0"/>
              <w:rPr>
                <w:sz w:val="21"/>
                <w:szCs w:val="21"/>
              </w:rPr>
            </w:pPr>
            <w:r>
              <w:rPr>
                <w:rFonts w:hint="eastAsia"/>
                <w:sz w:val="21"/>
                <w:szCs w:val="21"/>
              </w:rPr>
              <w:t>向省指挥部和事故相关单位、辖区政府通报舆情进展，提出应对建议</w:t>
            </w:r>
          </w:p>
        </w:tc>
        <w:tc>
          <w:tcPr>
            <w:tcW w:w="4024" w:type="dxa"/>
            <w:shd w:val="clear" w:color="auto" w:fill="auto"/>
            <w:vAlign w:val="center"/>
          </w:tcPr>
          <w:p>
            <w:pPr>
              <w:pStyle w:val="42"/>
              <w:spacing w:line="240" w:lineRule="auto"/>
              <w:ind w:firstLine="0" w:firstLineChars="0"/>
              <w:rPr>
                <w:sz w:val="21"/>
                <w:szCs w:val="21"/>
              </w:rPr>
            </w:pPr>
            <w:r>
              <w:rPr>
                <w:rFonts w:hint="eastAsia"/>
                <w:sz w:val="21"/>
                <w:szCs w:val="21"/>
              </w:rPr>
              <w:t>省委宣传部、省委网信办、省应急厅、事发地人民政府等部门和单位</w:t>
            </w:r>
          </w:p>
        </w:tc>
        <w:tc>
          <w:tcPr>
            <w:tcW w:w="1596" w:type="dxa"/>
            <w:shd w:val="clear" w:color="auto" w:fill="auto"/>
            <w:vAlign w:val="center"/>
          </w:tcPr>
          <w:p>
            <w:pPr>
              <w:pStyle w:val="42"/>
              <w:spacing w:line="240" w:lineRule="auto"/>
              <w:ind w:firstLine="0" w:firstLineChars="0"/>
              <w:rPr>
                <w:sz w:val="21"/>
                <w:szCs w:val="21"/>
                <w:lang w:eastAsia="en-US"/>
              </w:rPr>
            </w:pPr>
            <w:r>
              <w:rPr>
                <w:sz w:val="21"/>
                <w:szCs w:val="21"/>
                <w:lang w:eastAsia="en-US"/>
              </w:rPr>
              <w:t>省委宣传部牵头</w:t>
            </w:r>
          </w:p>
        </w:tc>
      </w:tr>
    </w:tbl>
    <w:p>
      <w:pPr>
        <w:sectPr>
          <w:pgSz w:w="16838" w:h="11906" w:orient="landscape"/>
          <w:pgMar w:top="1701" w:right="1474" w:bottom="1134" w:left="1588" w:header="851" w:footer="0" w:gutter="0"/>
          <w:pgNumType w:fmt="numberInDash"/>
          <w:cols w:space="425" w:num="1"/>
          <w:docGrid w:type="linesAndChars" w:linePitch="326" w:charSpace="0"/>
        </w:sectPr>
      </w:pPr>
    </w:p>
    <w:p>
      <w:pPr>
        <w:pStyle w:val="3"/>
      </w:pPr>
      <w:bookmarkStart w:id="12" w:name="_Toc89418897"/>
      <w:r>
        <w:rPr>
          <w:rFonts w:hint="eastAsia"/>
        </w:rPr>
        <w:t>3</w:t>
      </w:r>
      <w:r>
        <w:t>.</w:t>
      </w:r>
      <w:r>
        <w:rPr>
          <w:rFonts w:hint="eastAsia"/>
        </w:rPr>
        <w:t>4</w:t>
      </w:r>
      <w:r>
        <w:t xml:space="preserve"> </w:t>
      </w:r>
      <w:r>
        <w:rPr>
          <w:rFonts w:hint="eastAsia"/>
        </w:rPr>
        <w:t>部门</w:t>
      </w:r>
      <w:r>
        <w:t>职责</w:t>
      </w:r>
      <w:bookmarkEnd w:id="12"/>
    </w:p>
    <w:p>
      <w:pPr>
        <w:ind w:firstLine="594"/>
      </w:pPr>
      <w:r>
        <w:rPr>
          <w:rFonts w:hint="eastAsia"/>
        </w:rPr>
        <w:t>省人民政府其他</w:t>
      </w:r>
      <w:r>
        <w:t>有关部门根据相关应急预案，</w:t>
      </w:r>
      <w:r>
        <w:rPr>
          <w:rFonts w:hint="eastAsia"/>
        </w:rPr>
        <w:t>参与烟花爆竹生产安全事故</w:t>
      </w:r>
      <w:r>
        <w:t>的应急救援工作，为事故</w:t>
      </w:r>
      <w:r>
        <w:rPr>
          <w:rFonts w:hint="eastAsia"/>
        </w:rPr>
        <w:t>应急救援处置</w:t>
      </w:r>
      <w:r>
        <w:t>提供</w:t>
      </w:r>
      <w:r>
        <w:rPr>
          <w:rFonts w:hint="eastAsia"/>
        </w:rPr>
        <w:t>应急</w:t>
      </w:r>
      <w:r>
        <w:t>保障。</w:t>
      </w:r>
      <w:r>
        <w:rPr>
          <w:rFonts w:hint="eastAsia"/>
        </w:rPr>
        <w:t>（职责详见附则 9.</w:t>
      </w:r>
      <w:r>
        <w:t>1</w:t>
      </w:r>
      <w:r>
        <w:rPr>
          <w:rFonts w:hint="eastAsia"/>
        </w:rPr>
        <w:t>）</w:t>
      </w:r>
    </w:p>
    <w:p>
      <w:pPr>
        <w:pStyle w:val="3"/>
      </w:pPr>
      <w:bookmarkStart w:id="13" w:name="_Toc89418898"/>
      <w:r>
        <w:rPr>
          <w:rFonts w:hint="eastAsia"/>
        </w:rPr>
        <w:t>3.5</w:t>
      </w:r>
      <w:r>
        <w:t xml:space="preserve"> </w:t>
      </w:r>
      <w:r>
        <w:rPr>
          <w:rFonts w:hint="eastAsia"/>
        </w:rPr>
        <w:t>专家及职责</w:t>
      </w:r>
      <w:bookmarkEnd w:id="13"/>
    </w:p>
    <w:p>
      <w:pPr>
        <w:ind w:firstLine="594"/>
      </w:pPr>
      <w:r>
        <w:rPr>
          <w:rFonts w:hint="eastAsia"/>
        </w:rPr>
        <w:t>烟花爆竹应急救援专家组（以下简称“专家组”）由烟花爆竹相关领域的专家组成。其主要职责：参与审查烟花爆竹应急救援方案</w:t>
      </w:r>
      <w:r>
        <w:t>;对事故应急处置进行技术指导。</w:t>
      </w:r>
    </w:p>
    <w:p>
      <w:pPr>
        <w:ind w:firstLine="594"/>
      </w:pPr>
      <w:r>
        <w:rPr>
          <w:rFonts w:hint="eastAsia"/>
        </w:rPr>
        <w:t>专家得到指令后应尽快赶赴指定地点或通过网络、电话联络等手段，为应急救援工作提供专业咨询和技术支持，必要时参与现场技术鉴定工作。</w:t>
      </w:r>
    </w:p>
    <w:p>
      <w:pPr>
        <w:ind w:firstLine="594"/>
      </w:pPr>
      <w:r>
        <w:br w:type="page"/>
      </w:r>
    </w:p>
    <w:p>
      <w:pPr>
        <w:pStyle w:val="2"/>
      </w:pPr>
      <w:bookmarkStart w:id="14" w:name="_Toc89418899"/>
      <w:r>
        <w:rPr>
          <w:rFonts w:hint="eastAsia"/>
        </w:rPr>
        <w:t>4 监测预警与信息上报</w:t>
      </w:r>
      <w:bookmarkEnd w:id="14"/>
    </w:p>
    <w:p>
      <w:pPr>
        <w:pStyle w:val="3"/>
      </w:pPr>
      <w:bookmarkStart w:id="15" w:name="_Toc89418900"/>
      <w:r>
        <w:rPr>
          <w:rFonts w:hint="eastAsia"/>
        </w:rPr>
        <w:t>4</w:t>
      </w:r>
      <w:r>
        <w:t>.</w:t>
      </w:r>
      <w:r>
        <w:rPr>
          <w:rFonts w:hint="eastAsia"/>
        </w:rPr>
        <w:t>1</w:t>
      </w:r>
      <w:r>
        <w:t xml:space="preserve"> 监测</w:t>
      </w:r>
      <w:bookmarkEnd w:id="15"/>
    </w:p>
    <w:p>
      <w:pPr>
        <w:ind w:firstLine="594"/>
      </w:pPr>
      <w:r>
        <w:rPr>
          <w:rFonts w:hint="eastAsia"/>
        </w:rPr>
        <w:t>省各级人民政府和有关部门要完善烟花爆竹监测制度，配备专业人员和设备设施，及时、有效开展监测工作，并根据各自职责分工，及时汇总、分析、处理本地区烟花爆竹生产安全事故可能影响公共安全的信息。</w:t>
      </w:r>
    </w:p>
    <w:p>
      <w:pPr>
        <w:ind w:firstLine="594"/>
      </w:pPr>
      <w:r>
        <w:rPr>
          <w:rFonts w:hint="eastAsia"/>
        </w:rPr>
        <w:t>烟花爆竹企业是危险源监控的责任主体，要建立完善的安全生产动态监控、定期监测及预警预报体系，按照有关要求定期开展安全生产风险分析。发现事故征兆要立即发布预警信息，落实防范和应急处置措施。各零售网点应按照相关规定，建立日常监控和定期监测工作机制，落实安全生产主体责任，加强监控措施。烟花爆竹企业应将本企业经营、储存、运输的监测、监控情况定期向市县人民政府、洋浦经济开发区管委会应急管理部门备案。应急管理部门应联合市场监管部门、工商行政管理部门开展不定期检查。</w:t>
      </w:r>
    </w:p>
    <w:p>
      <w:pPr>
        <w:ind w:firstLine="594"/>
      </w:pPr>
      <w:r>
        <w:rPr>
          <w:rFonts w:hint="eastAsia"/>
        </w:rPr>
        <w:t>烟花爆竹企业应对可能引发事故的危险源进行持续监控，发现事故征兆后及时采取有效的防控措施。各级应急管理部门在接到可能导致烟花爆竹生产安全事故的信息后，应按照分级响应的原则及时研究制定应对方案，采取预警行动。</w:t>
      </w:r>
    </w:p>
    <w:p>
      <w:pPr>
        <w:pStyle w:val="3"/>
      </w:pPr>
      <w:bookmarkStart w:id="16" w:name="_Toc89418901"/>
      <w:r>
        <w:rPr>
          <w:rFonts w:hint="eastAsia"/>
        </w:rPr>
        <w:t>4.2 预警</w:t>
      </w:r>
      <w:bookmarkEnd w:id="16"/>
    </w:p>
    <w:p>
      <w:pPr>
        <w:ind w:firstLine="594"/>
      </w:pPr>
      <w:r>
        <w:rPr>
          <w:rFonts w:hint="eastAsia"/>
        </w:rPr>
        <w:t>可以预警的烟花爆竹生产安全事故的预警级别，按照突发事件发生的紧急程度、发展态势和可能造成的危害程度由高到低分为一级、二级、三级、四级，分别用红色、橙色、黄色和蓝色标示。预警信息实行动态管理制度：发布预警信息的人民政府要根据事态的发展，适时调整预警级别和宣布解除警报，并重新发布、报告和通报有关情况。</w:t>
      </w:r>
    </w:p>
    <w:p>
      <w:pPr>
        <w:ind w:firstLine="594"/>
      </w:pPr>
      <w:r>
        <w:rPr>
          <w:rFonts w:hint="eastAsia"/>
        </w:rPr>
        <w:t>由省各级人民政府和有关部门根据预警发布权限规定，通过相关公共信息平台，发布生产安全事故预警信息。预警信息包括发布单位、发布时间、可能发生突发事件的类别、可能影响时间和范围、预警级别、警示事项、事态发展、政府相关措施、咨询渠道等内容。</w:t>
      </w:r>
    </w:p>
    <w:p>
      <w:pPr>
        <w:pStyle w:val="3"/>
      </w:pPr>
      <w:bookmarkStart w:id="17" w:name="_Toc89418902"/>
      <w:r>
        <w:rPr>
          <w:rFonts w:hint="eastAsia"/>
        </w:rPr>
        <w:t>4.3 信息上报</w:t>
      </w:r>
      <w:bookmarkEnd w:id="17"/>
    </w:p>
    <w:p>
      <w:pPr>
        <w:ind w:firstLine="594"/>
      </w:pPr>
      <w:r>
        <w:rPr>
          <w:rFonts w:hint="eastAsia"/>
        </w:rPr>
        <w:t>事故发生后，事故现场有关人员应当立即向本单位负责人报告。单位负责人接到报告后，应当于</w:t>
      </w:r>
      <w:r>
        <w:t>1小时内向事故发生地县级以上应急管理部门和有关部门报告。</w:t>
      </w:r>
    </w:p>
    <w:p>
      <w:pPr>
        <w:ind w:firstLine="594"/>
      </w:pPr>
      <w:r>
        <w:rPr>
          <w:rFonts w:hint="eastAsia"/>
        </w:rPr>
        <w:t>各级政府事故上报时限不得超过</w:t>
      </w:r>
      <w:r>
        <w:t>1</w:t>
      </w:r>
      <w:r>
        <w:rPr>
          <w:rFonts w:hint="eastAsia"/>
        </w:rPr>
        <w:t>小时，不得迟报、漏报、谎报或者瞒报，同时通报可能受影响的地区、部门和企业，情况特别紧急时，可越级上报。</w:t>
      </w:r>
    </w:p>
    <w:p>
      <w:pPr>
        <w:ind w:firstLine="594"/>
      </w:pPr>
      <w:r>
        <w:rPr>
          <w:rFonts w:hint="eastAsia"/>
        </w:rPr>
        <w:t>省应急厅、省公安厅实行</w:t>
      </w:r>
      <w:r>
        <w:t>24小时值守制度，随时接收事故报告信息，并及时</w:t>
      </w:r>
      <w:r>
        <w:rPr>
          <w:rFonts w:hint="eastAsia"/>
        </w:rPr>
        <w:t>上</w:t>
      </w:r>
      <w:r>
        <w:t>报</w:t>
      </w:r>
      <w:r>
        <w:rPr>
          <w:rFonts w:hint="eastAsia"/>
        </w:rPr>
        <w:t>省委、</w:t>
      </w:r>
      <w:r>
        <w:t>省政府和</w:t>
      </w:r>
      <w:r>
        <w:rPr>
          <w:rFonts w:hint="eastAsia"/>
        </w:rPr>
        <w:t>国务院安委办</w:t>
      </w:r>
      <w:r>
        <w:t>。</w:t>
      </w:r>
    </w:p>
    <w:p>
      <w:pPr>
        <w:ind w:firstLine="594"/>
      </w:pPr>
      <w:r>
        <w:rPr>
          <w:rFonts w:hint="eastAsia"/>
        </w:rPr>
        <w:t>信息报告要简明扼要、清晰准确。事故报告内容应包括：事故发生单位概况，事故发生的时间、地点、简要经过、信息来源，事故可能造成的危害程度、影响范围、伤亡人数、直接经济损失，已采取的应急处置措施，目前事故处置进展情况，下一步拟采取的措施等。</w:t>
      </w:r>
    </w:p>
    <w:p>
      <w:pPr>
        <w:pStyle w:val="2"/>
      </w:pPr>
      <w:bookmarkStart w:id="18" w:name="_Toc89418903"/>
      <w:r>
        <w:rPr>
          <w:rFonts w:hint="eastAsia"/>
        </w:rPr>
        <w:t>5</w:t>
      </w:r>
      <w:r>
        <w:t xml:space="preserve"> </w:t>
      </w:r>
      <w:r>
        <w:rPr>
          <w:rFonts w:hint="eastAsia"/>
        </w:rPr>
        <w:t>响应程序</w:t>
      </w:r>
      <w:bookmarkEnd w:id="18"/>
    </w:p>
    <w:p>
      <w:pPr>
        <w:pStyle w:val="3"/>
      </w:pPr>
      <w:bookmarkStart w:id="19" w:name="_Toc89418904"/>
      <w:r>
        <w:rPr>
          <w:rFonts w:hint="eastAsia"/>
        </w:rPr>
        <w:t>5.</w:t>
      </w:r>
      <w:r>
        <w:t xml:space="preserve">1 </w:t>
      </w:r>
      <w:r>
        <w:rPr>
          <w:rFonts w:hint="eastAsia"/>
        </w:rPr>
        <w:t>事故分级</w:t>
      </w:r>
      <w:bookmarkEnd w:id="19"/>
    </w:p>
    <w:p>
      <w:pPr>
        <w:ind w:firstLine="594"/>
      </w:pPr>
      <w:r>
        <w:rPr>
          <w:rFonts w:hint="eastAsia"/>
        </w:rPr>
        <w:t>特别重</w:t>
      </w:r>
      <w:r>
        <w:t>大事故：造成</w:t>
      </w:r>
      <w:r>
        <w:rPr>
          <w:rFonts w:hint="eastAsia" w:ascii="Times New Roman" w:hAnsi="Times New Roman"/>
        </w:rPr>
        <w:t>30</w:t>
      </w:r>
      <w:r>
        <w:t>人以上死亡，或者</w:t>
      </w:r>
      <w:r>
        <w:rPr>
          <w:rFonts w:hint="eastAsia" w:ascii="Times New Roman" w:hAnsi="Times New Roman"/>
        </w:rPr>
        <w:t>10</w:t>
      </w:r>
      <w:r>
        <w:rPr>
          <w:rFonts w:ascii="Times New Roman" w:hAnsi="Times New Roman"/>
        </w:rPr>
        <w:t>0</w:t>
      </w:r>
      <w:r>
        <w:t>人以上重伤</w:t>
      </w:r>
      <w:r>
        <w:rPr>
          <w:rFonts w:hint="eastAsia"/>
        </w:rPr>
        <w:t>（包括急性工业中毒，下同）</w:t>
      </w:r>
      <w:r>
        <w:t>，</w:t>
      </w:r>
      <w:r>
        <w:rPr>
          <w:rFonts w:hint="eastAsia"/>
        </w:rPr>
        <w:t>或者需要紧急转移安置 10 万人以上，</w:t>
      </w:r>
      <w:r>
        <w:t>或者</w:t>
      </w:r>
      <w:r>
        <w:rPr>
          <w:rFonts w:ascii="Times New Roman" w:hAnsi="Times New Roman"/>
        </w:rPr>
        <w:t>1</w:t>
      </w:r>
      <w:r>
        <w:t>亿元以</w:t>
      </w:r>
      <w:r>
        <w:rPr>
          <w:rFonts w:hint="eastAsia"/>
        </w:rPr>
        <w:t>上</w:t>
      </w:r>
      <w:r>
        <w:t>直接经济损失的事故。</w:t>
      </w:r>
    </w:p>
    <w:p>
      <w:pPr>
        <w:ind w:firstLine="594"/>
      </w:pPr>
      <w:r>
        <w:t>重大事故：造成</w:t>
      </w:r>
      <w:r>
        <w:rPr>
          <w:rFonts w:ascii="Times New Roman" w:hAnsi="Times New Roman"/>
        </w:rPr>
        <w:t>10</w:t>
      </w:r>
      <w:r>
        <w:t>人以上</w:t>
      </w:r>
      <w:r>
        <w:rPr>
          <w:rFonts w:ascii="Times New Roman" w:hAnsi="Times New Roman"/>
        </w:rPr>
        <w:t>30</w:t>
      </w:r>
      <w:r>
        <w:t>人以下死亡，或者</w:t>
      </w:r>
      <w:r>
        <w:rPr>
          <w:rFonts w:ascii="Times New Roman" w:hAnsi="Times New Roman"/>
        </w:rPr>
        <w:t>50</w:t>
      </w:r>
      <w:r>
        <w:t>人以上</w:t>
      </w:r>
      <w:r>
        <w:rPr>
          <w:rFonts w:ascii="Times New Roman" w:hAnsi="Times New Roman"/>
        </w:rPr>
        <w:t>100</w:t>
      </w:r>
      <w:r>
        <w:t>人以下重伤，</w:t>
      </w:r>
      <w:r>
        <w:rPr>
          <w:rFonts w:hint="eastAsia"/>
        </w:rPr>
        <w:t>或需紧急转移安置 5 万人以上、10 万人以下，</w:t>
      </w:r>
      <w:r>
        <w:t>或者</w:t>
      </w:r>
      <w:r>
        <w:rPr>
          <w:rFonts w:ascii="Times New Roman" w:hAnsi="Times New Roman"/>
        </w:rPr>
        <w:t>5000</w:t>
      </w:r>
      <w:r>
        <w:t>万元以上</w:t>
      </w:r>
      <w:r>
        <w:rPr>
          <w:rFonts w:ascii="Times New Roman" w:hAnsi="Times New Roman"/>
        </w:rPr>
        <w:t>1</w:t>
      </w:r>
      <w:r>
        <w:t>亿元以下直接经济损失的事故。</w:t>
      </w:r>
    </w:p>
    <w:p>
      <w:pPr>
        <w:ind w:firstLine="594"/>
        <w:rPr>
          <w:szCs w:val="32"/>
        </w:rPr>
      </w:pPr>
      <w:r>
        <w:fldChar w:fldCharType="begin"/>
      </w:r>
      <w:r>
        <w:instrText xml:space="preserve"> HYPERLINK "https://www.baidu.com/s?wd=%E8%BE%83%E5%A4%A7%E4%BA%8B%E6%95%85&amp;tn=SE_PcZhidaonwhc_ngpagmjz&amp;rsv_dl=gh_pc_zhidao" \t "_blank" </w:instrText>
      </w:r>
      <w:r>
        <w:fldChar w:fldCharType="separate"/>
      </w:r>
      <w:r>
        <w:rPr>
          <w:szCs w:val="32"/>
        </w:rPr>
        <w:t>较大事故</w:t>
      </w:r>
      <w:r>
        <w:rPr>
          <w:szCs w:val="32"/>
        </w:rPr>
        <w:fldChar w:fldCharType="end"/>
      </w:r>
      <w:r>
        <w:rPr>
          <w:szCs w:val="32"/>
        </w:rPr>
        <w:t>：造成</w:t>
      </w:r>
      <w:r>
        <w:rPr>
          <w:rFonts w:ascii="Times New Roman" w:hAnsi="Times New Roman"/>
          <w:szCs w:val="32"/>
        </w:rPr>
        <w:t>3</w:t>
      </w:r>
      <w:r>
        <w:rPr>
          <w:szCs w:val="32"/>
        </w:rPr>
        <w:t>人以上</w:t>
      </w:r>
      <w:r>
        <w:rPr>
          <w:rFonts w:ascii="Times New Roman" w:hAnsi="Times New Roman"/>
          <w:szCs w:val="32"/>
        </w:rPr>
        <w:t>10</w:t>
      </w:r>
      <w:r>
        <w:rPr>
          <w:szCs w:val="32"/>
        </w:rPr>
        <w:t>人以下死亡，或者</w:t>
      </w:r>
      <w:r>
        <w:rPr>
          <w:rFonts w:ascii="Times New Roman" w:hAnsi="Times New Roman"/>
          <w:szCs w:val="32"/>
        </w:rPr>
        <w:t>10</w:t>
      </w:r>
      <w:r>
        <w:rPr>
          <w:szCs w:val="32"/>
        </w:rPr>
        <w:t>人以上</w:t>
      </w:r>
      <w:r>
        <w:rPr>
          <w:rFonts w:ascii="Times New Roman" w:hAnsi="Times New Roman"/>
          <w:szCs w:val="32"/>
        </w:rPr>
        <w:t>50</w:t>
      </w:r>
      <w:r>
        <w:rPr>
          <w:szCs w:val="32"/>
        </w:rPr>
        <w:t>人以下重伤，或者</w:t>
      </w:r>
      <w:r>
        <w:rPr>
          <w:rFonts w:ascii="Times New Roman" w:hAnsi="Times New Roman"/>
          <w:szCs w:val="32"/>
        </w:rPr>
        <w:t>1000</w:t>
      </w:r>
      <w:r>
        <w:rPr>
          <w:szCs w:val="32"/>
        </w:rPr>
        <w:t>万元以上</w:t>
      </w:r>
      <w:r>
        <w:rPr>
          <w:rFonts w:ascii="Times New Roman" w:hAnsi="Times New Roman"/>
          <w:szCs w:val="32"/>
        </w:rPr>
        <w:t>5000</w:t>
      </w:r>
      <w:r>
        <w:rPr>
          <w:szCs w:val="32"/>
        </w:rPr>
        <w:t>万元以下直接经济损失的事故。</w:t>
      </w:r>
    </w:p>
    <w:p>
      <w:pPr>
        <w:ind w:firstLine="594"/>
      </w:pPr>
      <w:r>
        <w:t>一般事故：造成</w:t>
      </w:r>
      <w:r>
        <w:rPr>
          <w:rFonts w:ascii="Times New Roman" w:hAnsi="Times New Roman"/>
        </w:rPr>
        <w:t>3</w:t>
      </w:r>
      <w:r>
        <w:t>人以下死亡，或者</w:t>
      </w:r>
      <w:r>
        <w:rPr>
          <w:rFonts w:ascii="Times New Roman" w:hAnsi="Times New Roman"/>
        </w:rPr>
        <w:t>10</w:t>
      </w:r>
      <w:r>
        <w:t>人以下重伤，或者</w:t>
      </w:r>
      <w:r>
        <w:rPr>
          <w:rFonts w:ascii="Times New Roman" w:hAnsi="Times New Roman"/>
        </w:rPr>
        <w:t>1000</w:t>
      </w:r>
      <w:r>
        <w:t>万元以下直接经济损失的事故。</w:t>
      </w:r>
    </w:p>
    <w:p>
      <w:pPr>
        <w:ind w:firstLine="594"/>
      </w:pPr>
      <w:r>
        <w:t>（注意：</w:t>
      </w:r>
      <w:r>
        <w:rPr>
          <w:rFonts w:hint="eastAsia"/>
        </w:rPr>
        <w:t>上述规定中的“以上”含本数，“以下”不含本数</w:t>
      </w:r>
      <w:r>
        <w:t>。）</w:t>
      </w:r>
    </w:p>
    <w:p>
      <w:pPr>
        <w:pStyle w:val="3"/>
      </w:pPr>
      <w:bookmarkStart w:id="20" w:name="_Toc89418905"/>
      <w:r>
        <w:rPr>
          <w:rFonts w:hint="eastAsia"/>
        </w:rPr>
        <w:t>5.2</w:t>
      </w:r>
      <w:r>
        <w:t xml:space="preserve"> </w:t>
      </w:r>
      <w:r>
        <w:rPr>
          <w:rFonts w:hint="eastAsia"/>
        </w:rPr>
        <w:t>响应分级</w:t>
      </w:r>
      <w:bookmarkEnd w:id="20"/>
    </w:p>
    <w:p>
      <w:pPr>
        <w:ind w:firstLine="594"/>
      </w:pPr>
      <w:r>
        <w:rPr>
          <w:rFonts w:hint="eastAsia"/>
        </w:rPr>
        <w:t>按照烟花爆竹生产安全事故的严重程度和影响范围，烟花爆竹生产安全事故应急响应等级分为Ⅰ</w:t>
      </w:r>
      <w:r>
        <w:t>级响应</w:t>
      </w:r>
      <w:r>
        <w:rPr>
          <w:rFonts w:hint="eastAsia"/>
        </w:rPr>
        <w:t>（特别重大</w:t>
      </w:r>
      <w:r>
        <w:t>），</w:t>
      </w:r>
      <w:r>
        <w:rPr>
          <w:rFonts w:hint="eastAsia"/>
        </w:rPr>
        <w:t>Ⅱ</w:t>
      </w:r>
      <w:r>
        <w:t>级响应（重大）、</w:t>
      </w:r>
      <w:r>
        <w:rPr>
          <w:rFonts w:hint="eastAsia"/>
        </w:rPr>
        <w:t>Ⅲ</w:t>
      </w:r>
      <w:r>
        <w:t>级响应（较大）、</w:t>
      </w:r>
      <w:r>
        <w:rPr>
          <w:rFonts w:hint="eastAsia"/>
        </w:rPr>
        <w:t>Ⅳ</w:t>
      </w:r>
      <w:r>
        <w:t>级响应（一般）。</w:t>
      </w:r>
    </w:p>
    <w:p>
      <w:pPr>
        <w:ind w:firstLine="594"/>
      </w:pPr>
      <w:r>
        <w:rPr>
          <w:rFonts w:hint="eastAsia"/>
        </w:rPr>
        <w:t>事故响应遵循统一领导、分级负责、属地为主的原则。当事故超出事发地人民政府、洋浦经济开发区管委会的应对能力时，由上一级人民政府提供支援或组织应对。Ⅱ级及以上事故响应由省人民政府统一组织协调。</w:t>
      </w:r>
    </w:p>
    <w:p>
      <w:pPr>
        <w:pStyle w:val="3"/>
      </w:pPr>
      <w:bookmarkStart w:id="21" w:name="_Toc89418906"/>
      <w:r>
        <w:rPr>
          <w:rFonts w:hint="eastAsia"/>
        </w:rPr>
        <w:t>5.3</w:t>
      </w:r>
      <w:r>
        <w:t xml:space="preserve"> </w:t>
      </w:r>
      <w:r>
        <w:rPr>
          <w:rFonts w:hint="eastAsia"/>
        </w:rPr>
        <w:t>应急处置</w:t>
      </w:r>
      <w:bookmarkEnd w:id="21"/>
    </w:p>
    <w:p>
      <w:pPr>
        <w:pStyle w:val="4"/>
      </w:pPr>
      <w:bookmarkStart w:id="22" w:name="_Toc89418907"/>
      <w:r>
        <w:rPr>
          <w:rFonts w:hint="eastAsia"/>
        </w:rPr>
        <w:t>5</w:t>
      </w:r>
      <w:r>
        <w:t>.</w:t>
      </w:r>
      <w:r>
        <w:rPr>
          <w:rFonts w:hint="eastAsia"/>
        </w:rPr>
        <w:t>3</w:t>
      </w:r>
      <w:r>
        <w:t>.</w:t>
      </w:r>
      <w:r>
        <w:rPr>
          <w:rFonts w:hint="eastAsia"/>
        </w:rPr>
        <w:t>1</w:t>
      </w:r>
      <w:r>
        <w:t xml:space="preserve"> </w:t>
      </w:r>
      <w:r>
        <w:rPr>
          <w:rFonts w:hint="eastAsia"/>
        </w:rPr>
        <w:t>生产经营单位应急处置</w:t>
      </w:r>
      <w:bookmarkEnd w:id="22"/>
    </w:p>
    <w:p>
      <w:pPr>
        <w:ind w:firstLine="594"/>
      </w:pPr>
      <w:r>
        <w:rPr>
          <w:rFonts w:hint="eastAsia"/>
        </w:rPr>
        <w:t>当</w:t>
      </w:r>
      <w:r>
        <w:t>出现险情或</w:t>
      </w:r>
      <w:r>
        <w:rPr>
          <w:rFonts w:hint="eastAsia"/>
        </w:rPr>
        <w:t>已经</w:t>
      </w:r>
      <w:r>
        <w:t>发生烟花爆竹生产安全事故后，</w:t>
      </w:r>
      <w:r>
        <w:rPr>
          <w:rFonts w:hint="eastAsia"/>
        </w:rPr>
        <w:t>发现</w:t>
      </w:r>
      <w:r>
        <w:t>人员</w:t>
      </w:r>
      <w:r>
        <w:rPr>
          <w:rFonts w:hint="eastAsia"/>
        </w:rPr>
        <w:t>应</w:t>
      </w:r>
      <w:r>
        <w:t>第一时间向本</w:t>
      </w:r>
      <w:r>
        <w:rPr>
          <w:rFonts w:hint="eastAsia"/>
        </w:rPr>
        <w:t>企业负责</w:t>
      </w:r>
      <w:r>
        <w:t>人进行汇报</w:t>
      </w:r>
      <w:r>
        <w:rPr>
          <w:rFonts w:hint="eastAsia"/>
        </w:rPr>
        <w:t>。企业</w:t>
      </w:r>
      <w:r>
        <w:t>负责人接到</w:t>
      </w:r>
      <w:r>
        <w:rPr>
          <w:rFonts w:hint="eastAsia"/>
        </w:rPr>
        <w:t>事故信息后，应立即启动相关应急预案</w:t>
      </w:r>
      <w:r>
        <w:t>，</w:t>
      </w:r>
      <w:r>
        <w:rPr>
          <w:rFonts w:hint="eastAsia"/>
        </w:rPr>
        <w:t>组织事故救援；组织</w:t>
      </w:r>
      <w:r>
        <w:t>人员将相关情况如实向</w:t>
      </w:r>
      <w:r>
        <w:rPr>
          <w:rFonts w:hint="eastAsia"/>
        </w:rPr>
        <w:t>属地应急</w:t>
      </w:r>
      <w:r>
        <w:t>管理部门</w:t>
      </w:r>
      <w:r>
        <w:rPr>
          <w:rFonts w:hint="eastAsia"/>
        </w:rPr>
        <w:t>报告</w:t>
      </w:r>
      <w:r>
        <w:t>；</w:t>
      </w:r>
      <w:r>
        <w:rPr>
          <w:rFonts w:hint="eastAsia"/>
        </w:rPr>
        <w:t>组织</w:t>
      </w:r>
      <w:r>
        <w:t>人员向周边企业、政府相关部门、居民</w:t>
      </w:r>
      <w:r>
        <w:rPr>
          <w:rFonts w:hint="eastAsia"/>
        </w:rPr>
        <w:t>发出预警</w:t>
      </w:r>
      <w:r>
        <w:t>信息</w:t>
      </w:r>
      <w:r>
        <w:rPr>
          <w:rFonts w:hint="eastAsia"/>
        </w:rPr>
        <w:t>。事故</w:t>
      </w:r>
      <w:r>
        <w:t>现场处置人员</w:t>
      </w:r>
      <w:r>
        <w:rPr>
          <w:rFonts w:hint="eastAsia"/>
        </w:rPr>
        <w:t>在</w:t>
      </w:r>
      <w:r>
        <w:t>确保安全的前提下</w:t>
      </w:r>
      <w:r>
        <w:rPr>
          <w:rFonts w:hint="eastAsia"/>
        </w:rPr>
        <w:t>开展自救和互救措施，控制</w:t>
      </w:r>
      <w:r>
        <w:t>危险源，封锁危险场所</w:t>
      </w:r>
      <w:r>
        <w:rPr>
          <w:rFonts w:hint="eastAsia"/>
        </w:rPr>
        <w:t>，杜绝盲目施救。</w:t>
      </w:r>
    </w:p>
    <w:p>
      <w:pPr>
        <w:pStyle w:val="4"/>
      </w:pPr>
      <w:bookmarkStart w:id="23" w:name="_Toc89418908"/>
      <w:r>
        <w:rPr>
          <w:rFonts w:hint="eastAsia"/>
        </w:rPr>
        <w:t>5</w:t>
      </w:r>
      <w:r>
        <w:t>.</w:t>
      </w:r>
      <w:r>
        <w:rPr>
          <w:rFonts w:hint="eastAsia"/>
        </w:rPr>
        <w:t>3</w:t>
      </w:r>
      <w:r>
        <w:t>.</w:t>
      </w:r>
      <w:r>
        <w:rPr>
          <w:rFonts w:hint="eastAsia"/>
        </w:rPr>
        <w:t>2</w:t>
      </w:r>
      <w:r>
        <w:t xml:space="preserve"> </w:t>
      </w:r>
      <w:r>
        <w:rPr>
          <w:rFonts w:hint="eastAsia"/>
        </w:rPr>
        <w:t>市县人民政府、洋浦经济开发区管委会应急处置</w:t>
      </w:r>
      <w:bookmarkEnd w:id="23"/>
    </w:p>
    <w:p>
      <w:pPr>
        <w:ind w:firstLine="594"/>
      </w:pPr>
      <w:r>
        <w:rPr>
          <w:rFonts w:hint="eastAsia"/>
        </w:rPr>
        <w:t>发生烟花爆竹重大、特别重大生产安全事故后，事发地市县人民政府、洋浦经济开发区管委会主要负责人应立即赶赴现场，组织成立救援指挥部，对事故进行先期处置。</w:t>
      </w:r>
    </w:p>
    <w:p>
      <w:pPr>
        <w:ind w:firstLine="594"/>
      </w:pPr>
      <w:r>
        <w:rPr>
          <w:rFonts w:hint="eastAsia"/>
        </w:rPr>
        <w:t>现场救援人员应根据需要携带专业应急防护装备，采取安全防护措施，严格执行应急救援人员进入和离开事故现场的相关规定。当事故影响范围广时，可根据实际情况成立以政府为主导的政企民联动机构。</w:t>
      </w:r>
    </w:p>
    <w:p>
      <w:pPr>
        <w:pStyle w:val="4"/>
      </w:pPr>
      <w:bookmarkStart w:id="24" w:name="_Toc89418909"/>
      <w:r>
        <w:rPr>
          <w:rFonts w:hint="eastAsia"/>
        </w:rPr>
        <w:t>5</w:t>
      </w:r>
      <w:r>
        <w:t>.</w:t>
      </w:r>
      <w:r>
        <w:rPr>
          <w:rFonts w:hint="eastAsia"/>
        </w:rPr>
        <w:t>3</w:t>
      </w:r>
      <w:r>
        <w:t>.</w:t>
      </w:r>
      <w:r>
        <w:rPr>
          <w:rFonts w:hint="eastAsia"/>
        </w:rPr>
        <w:t>3</w:t>
      </w:r>
      <w:r>
        <w:t xml:space="preserve"> </w:t>
      </w:r>
      <w:r>
        <w:rPr>
          <w:rFonts w:hint="eastAsia"/>
        </w:rPr>
        <w:t>省级应急处置</w:t>
      </w:r>
      <w:bookmarkEnd w:id="24"/>
    </w:p>
    <w:p>
      <w:pPr>
        <w:pStyle w:val="5"/>
      </w:pPr>
      <w:bookmarkStart w:id="25" w:name="_Toc89418910"/>
      <w:r>
        <w:rPr>
          <w:rFonts w:hint="eastAsia"/>
        </w:rPr>
        <w:t>5.3.3.1</w:t>
      </w:r>
      <w:r>
        <w:t xml:space="preserve"> </w:t>
      </w:r>
      <w:r>
        <w:rPr>
          <w:rFonts w:hint="eastAsia"/>
        </w:rPr>
        <w:t>接警</w:t>
      </w:r>
      <w:bookmarkEnd w:id="25"/>
    </w:p>
    <w:p>
      <w:pPr>
        <w:ind w:firstLine="594"/>
      </w:pPr>
      <w:r>
        <w:t>当省</w:t>
      </w:r>
      <w:r>
        <w:rPr>
          <w:rFonts w:hint="eastAsia"/>
        </w:rPr>
        <w:t>应急厅</w:t>
      </w:r>
      <w:r>
        <w:t>收到</w:t>
      </w:r>
      <w:r>
        <w:rPr>
          <w:rFonts w:hint="eastAsia"/>
        </w:rPr>
        <w:t>烟花爆竹生产安全事故</w:t>
      </w:r>
      <w:r>
        <w:t>报告后</w:t>
      </w:r>
      <w:r>
        <w:rPr>
          <w:rFonts w:hint="eastAsia"/>
        </w:rPr>
        <w:t>，</w:t>
      </w:r>
      <w:r>
        <w:t>应及时</w:t>
      </w:r>
      <w:r>
        <w:rPr>
          <w:rFonts w:hint="eastAsia"/>
        </w:rPr>
        <w:t>核实事故情况，报送省委、省政府及省安委会有关部门，并根据事故情况指导事故现场进行救援，按照有关权限协调应急资源。对可能或者已经引发自然灾害、公共卫生和社会安全突发事件的情况，省应急厅应及时上报省委、省政府，同时通报同级相关领域的应急指挥机构。</w:t>
      </w:r>
    </w:p>
    <w:p>
      <w:pPr>
        <w:pStyle w:val="5"/>
      </w:pPr>
      <w:bookmarkStart w:id="26" w:name="_Toc89418911"/>
      <w:r>
        <w:rPr>
          <w:rFonts w:hint="eastAsia"/>
        </w:rPr>
        <w:t>5.3.3.2</w:t>
      </w:r>
      <w:r>
        <w:t xml:space="preserve"> </w:t>
      </w:r>
      <w:r>
        <w:rPr>
          <w:rFonts w:hint="eastAsia"/>
        </w:rPr>
        <w:t>事故处置</w:t>
      </w:r>
      <w:bookmarkEnd w:id="26"/>
    </w:p>
    <w:p>
      <w:pPr>
        <w:ind w:firstLine="594"/>
      </w:pPr>
      <w:r>
        <w:rPr>
          <w:rFonts w:hint="eastAsia"/>
        </w:rPr>
        <w:t>当事故影响已经达到本预案的启动条件时，省安委会主任应及时研判并决定事故响应级别，作出相应工作部署。</w:t>
      </w:r>
    </w:p>
    <w:p>
      <w:pPr>
        <w:ind w:firstLine="594"/>
      </w:pPr>
      <w:r>
        <w:rPr>
          <w:rFonts w:hint="eastAsia"/>
        </w:rPr>
        <w:t>省指挥部成立后，连线事发地指挥部，</w:t>
      </w:r>
      <w:r>
        <w:t>进行联合初步研讨会议</w:t>
      </w:r>
      <w:r>
        <w:rPr>
          <w:rFonts w:hint="eastAsia"/>
        </w:rPr>
        <w:t>，</w:t>
      </w:r>
      <w:r>
        <w:t>了解事故最新动态并</w:t>
      </w:r>
      <w:r>
        <w:rPr>
          <w:rFonts w:hint="eastAsia"/>
        </w:rPr>
        <w:t>交接指挥权，按需设置现场指挥部。</w:t>
      </w:r>
    </w:p>
    <w:p>
      <w:pPr>
        <w:ind w:firstLine="594"/>
      </w:pPr>
      <w:r>
        <w:rPr>
          <w:rFonts w:hint="eastAsia"/>
        </w:rPr>
        <w:t>现场指挥部成立后，应根据省指挥部有关部署，做好扩大事故信息发布范围，协调事发地周边的应急资源进行支援，消除已经引发或可能引发的事故负面舆论，严格落实供水、供电、交通、气象、物资、资金和环境保护等保障。</w:t>
      </w:r>
    </w:p>
    <w:p>
      <w:pPr>
        <w:ind w:firstLine="594"/>
      </w:pPr>
      <w:r>
        <w:rPr>
          <w:rFonts w:hint="eastAsia"/>
        </w:rPr>
        <w:t>现场指挥部</w:t>
      </w:r>
      <w:r>
        <w:t>处置完上述事项后</w:t>
      </w:r>
      <w:r>
        <w:rPr>
          <w:rFonts w:hint="eastAsia"/>
        </w:rPr>
        <w:t>，</w:t>
      </w:r>
      <w:r>
        <w:t>进入内部运转机制</w:t>
      </w:r>
      <w:r>
        <w:rPr>
          <w:rFonts w:hint="eastAsia"/>
        </w:rPr>
        <w:t>，根据事故现场实际情况，开展有计划、有针对性的救援工作。现场指挥部内部运转机制应以“制定救援目标→会商研判→制定救援方案→执行救援方案→方案执行的监督完成→制定下一阶段的应急救援目标”的步骤进行事故救援。</w:t>
      </w:r>
    </w:p>
    <w:p>
      <w:pPr>
        <w:ind w:firstLine="594"/>
      </w:pPr>
      <w:r>
        <w:rPr>
          <w:rFonts w:hint="eastAsia"/>
        </w:rPr>
        <w:t>采取如下必要措施：</w:t>
      </w:r>
    </w:p>
    <w:p>
      <w:pPr>
        <w:ind w:firstLine="594"/>
      </w:pPr>
      <w:r>
        <w:rPr>
          <w:rFonts w:hint="eastAsia"/>
        </w:rPr>
        <w:t>（1）组织周围群众撤离危险区域，维持现场秩序；</w:t>
      </w:r>
    </w:p>
    <w:p>
      <w:pPr>
        <w:ind w:firstLine="594"/>
      </w:pPr>
      <w:r>
        <w:rPr>
          <w:rFonts w:hint="eastAsia"/>
        </w:rPr>
        <w:t>（2）查明危险源，封锁事故现场和危险区域。疏散现场无关人员，设置警示标识，杜绝火源，并将易燃易爆物品搬离危险区域，防止发生次生、衍生事故；</w:t>
      </w:r>
    </w:p>
    <w:p>
      <w:pPr>
        <w:ind w:firstLine="594"/>
      </w:pPr>
      <w:r>
        <w:rPr>
          <w:rFonts w:hint="eastAsia"/>
        </w:rPr>
        <w:t>（3）尽快恢复被破坏的交通、通讯等公共设施，同时对事故现场进行清理，进一步创造抢救与处理事故的条件；</w:t>
      </w:r>
    </w:p>
    <w:p>
      <w:pPr>
        <w:ind w:firstLine="594"/>
      </w:pPr>
      <w:r>
        <w:rPr>
          <w:rFonts w:hint="eastAsia"/>
        </w:rPr>
        <w:t>（4）设置警戒线，划定安全区域，向周边居民发出警报；</w:t>
      </w:r>
    </w:p>
    <w:p>
      <w:pPr>
        <w:ind w:firstLine="594"/>
      </w:pPr>
      <w:r>
        <w:rPr>
          <w:rFonts w:hint="eastAsia"/>
        </w:rPr>
        <w:t>（5）迅速调集应急物资，向受灾人员提供生存必须保障；</w:t>
      </w:r>
    </w:p>
    <w:p>
      <w:pPr>
        <w:ind w:firstLine="594"/>
      </w:pPr>
      <w:r>
        <w:rPr>
          <w:rFonts w:hint="eastAsia"/>
        </w:rPr>
        <w:t>（6）及时制定事故救援方案，并组织实施。密切监控事态发展，排除导致事态进一步恶化的影响因素。</w:t>
      </w:r>
    </w:p>
    <w:p>
      <w:pPr>
        <w:pStyle w:val="5"/>
      </w:pPr>
      <w:bookmarkStart w:id="27" w:name="_Toc89418912"/>
      <w:r>
        <w:rPr>
          <w:rFonts w:hint="eastAsia"/>
        </w:rPr>
        <w:t>5.3.3.</w:t>
      </w:r>
      <w:r>
        <w:t xml:space="preserve">3 </w:t>
      </w:r>
      <w:r>
        <w:rPr>
          <w:rFonts w:hint="eastAsia"/>
        </w:rPr>
        <w:t>响应升级</w:t>
      </w:r>
      <w:bookmarkEnd w:id="27"/>
    </w:p>
    <w:p>
      <w:pPr>
        <w:ind w:firstLine="594"/>
      </w:pPr>
      <w:r>
        <w:t>当全省力量也无法有效控制灾情时</w:t>
      </w:r>
      <w:r>
        <w:rPr>
          <w:rFonts w:hint="eastAsia"/>
        </w:rPr>
        <w:t>，省指挥部应将事态及时上报国务院安委办，请求国家支援，</w:t>
      </w:r>
      <w:r>
        <w:t>应急响应</w:t>
      </w:r>
      <w:r>
        <w:rPr>
          <w:rFonts w:hint="eastAsia"/>
        </w:rPr>
        <w:t>由</w:t>
      </w:r>
      <w:r>
        <w:t>国务院</w:t>
      </w:r>
      <w:r>
        <w:rPr>
          <w:rFonts w:hint="eastAsia"/>
        </w:rPr>
        <w:t>有关部门</w:t>
      </w:r>
      <w:r>
        <w:t>组织实施，省指挥部</w:t>
      </w:r>
      <w:r>
        <w:rPr>
          <w:rFonts w:hint="eastAsia"/>
        </w:rPr>
        <w:t>、</w:t>
      </w:r>
      <w:r>
        <w:t>现场指挥部</w:t>
      </w:r>
      <w:r>
        <w:rPr>
          <w:rFonts w:hint="eastAsia"/>
        </w:rPr>
        <w:t>等各级应急机构应积极</w:t>
      </w:r>
      <w:r>
        <w:t>配合</w:t>
      </w:r>
      <w:r>
        <w:rPr>
          <w:rFonts w:hint="eastAsia"/>
        </w:rPr>
        <w:t>。</w:t>
      </w:r>
    </w:p>
    <w:p>
      <w:pPr>
        <w:pStyle w:val="5"/>
      </w:pPr>
      <w:bookmarkStart w:id="28" w:name="_Toc89418913"/>
      <w:r>
        <w:rPr>
          <w:rFonts w:hint="eastAsia"/>
        </w:rPr>
        <w:t>5.3.3.</w:t>
      </w:r>
      <w:r>
        <w:t xml:space="preserve">4 </w:t>
      </w:r>
      <w:r>
        <w:rPr>
          <w:rFonts w:hint="eastAsia"/>
        </w:rPr>
        <w:t>信息发布</w:t>
      </w:r>
      <w:bookmarkEnd w:id="28"/>
    </w:p>
    <w:p>
      <w:pPr>
        <w:ind w:firstLine="594"/>
      </w:pPr>
      <w:r>
        <w:rPr>
          <w:rFonts w:hint="eastAsia"/>
        </w:rPr>
        <w:t>当发生重大、特别重大烟花爆竹生产安全事故（以及1.4条规定的其他事故范围）时，省指挥部负责统一领导和组织事故信息发布工作。</w:t>
      </w:r>
    </w:p>
    <w:p>
      <w:pPr>
        <w:ind w:firstLine="594"/>
      </w:pPr>
      <w:r>
        <w:rPr>
          <w:rFonts w:hint="eastAsia"/>
        </w:rPr>
        <w:t>对于烟花爆竹生产安全事故已经引发或可能引发的社会舆论，省委宣传部应联合省委网信办等有关部门，协调网络、电视、报纸等有关媒体，开展对外解疑释惑、消除社会不当舆论、澄清事实。必要时，组织召开新闻发布会，正确引导新闻舆论，现场指挥部予以配合。</w:t>
      </w:r>
    </w:p>
    <w:p>
      <w:pPr>
        <w:ind w:firstLine="594"/>
      </w:pPr>
      <w:r>
        <w:rPr>
          <w:rFonts w:hint="eastAsia"/>
        </w:rPr>
        <w:t>信息发布内容主要包括：烟花爆竹生产安全事故的危害程度及其次生、衍生灾害的监测和预警情况；事故发生时间、地点、人员伤亡（包括下落不明人数）和财产损失情况、救援进展情况、事故区域交通管控情况以及临时交通措施；事故责任单位基本情况；事故初步原因等。</w:t>
      </w:r>
    </w:p>
    <w:p>
      <w:pPr>
        <w:pStyle w:val="5"/>
      </w:pPr>
      <w:bookmarkStart w:id="29" w:name="_Toc89418914"/>
      <w:r>
        <w:rPr>
          <w:rFonts w:hint="eastAsia"/>
        </w:rPr>
        <w:t>5.3.3.5</w:t>
      </w:r>
      <w:r>
        <w:t xml:space="preserve"> </w:t>
      </w:r>
      <w:r>
        <w:rPr>
          <w:rFonts w:hint="eastAsia"/>
        </w:rPr>
        <w:t>响应降级及结束</w:t>
      </w:r>
      <w:bookmarkEnd w:id="29"/>
    </w:p>
    <w:p>
      <w:pPr>
        <w:ind w:firstLine="594"/>
      </w:pPr>
      <w:r>
        <w:rPr>
          <w:rFonts w:hint="eastAsia"/>
        </w:rPr>
        <w:t>事故响应实行动态管理，根据事故救援情况调整响应级别，采用逐步降级指挥权转移响应降级信息发布的程序进行。</w:t>
      </w:r>
    </w:p>
    <w:p>
      <w:pPr>
        <w:ind w:firstLine="594"/>
      </w:pPr>
      <w:r>
        <w:rPr>
          <w:rFonts w:hint="eastAsia"/>
        </w:rPr>
        <w:t>当现场险情得以控制，事故伤亡情况已核实清楚，被困人员已解救，受伤人员已全部安排救治，死亡人员得到妥善处置，环境符合有关标准，导致次生、衍生事故的隐患已消除后，由现场指挥部上报省指挥部，省指挥部宣布省级响应结束，相关人员回到日常岗位。</w:t>
      </w:r>
    </w:p>
    <w:p>
      <w:pPr>
        <w:pStyle w:val="2"/>
      </w:pPr>
      <w:bookmarkStart w:id="30" w:name="_Toc89418915"/>
      <w:r>
        <w:rPr>
          <w:rFonts w:hint="eastAsia"/>
        </w:rPr>
        <w:t>6 后期处置</w:t>
      </w:r>
      <w:bookmarkEnd w:id="30"/>
    </w:p>
    <w:p>
      <w:pPr>
        <w:pStyle w:val="3"/>
      </w:pPr>
      <w:bookmarkStart w:id="31" w:name="_Toc89418916"/>
      <w:r>
        <w:t>6.1 善后处置</w:t>
      </w:r>
      <w:bookmarkEnd w:id="31"/>
    </w:p>
    <w:p>
      <w:pPr>
        <w:ind w:firstLine="594"/>
      </w:pPr>
      <w:r>
        <w:rPr>
          <w:rFonts w:hint="eastAsia"/>
        </w:rPr>
        <w:t>事发地市县人民政府、洋浦经济开发区管委会及事故单位负责组织事故善后处置工作，包括遇难人员亲属的安抚、赔偿，征用物资补偿，灾后重建，污染物收集、清理与处理等事项。尽快恢复正常秩序，减少事故影响，确保社会稳定。</w:t>
      </w:r>
    </w:p>
    <w:p>
      <w:pPr>
        <w:pStyle w:val="3"/>
      </w:pPr>
      <w:bookmarkStart w:id="32" w:name="_Toc89418917"/>
      <w:r>
        <w:rPr>
          <w:rFonts w:hint="eastAsia"/>
        </w:rPr>
        <w:t>6</w:t>
      </w:r>
      <w:r>
        <w:t>.2 事故调查</w:t>
      </w:r>
      <w:bookmarkEnd w:id="32"/>
    </w:p>
    <w:p>
      <w:pPr>
        <w:ind w:firstLine="594"/>
      </w:pPr>
      <w:r>
        <w:rPr>
          <w:rFonts w:hint="eastAsia"/>
        </w:rPr>
        <w:t>事故发生后，应当按照国家有关规定成立事故调查组，开展事故调查工作，并按要求形成事故调查报告。</w:t>
      </w:r>
    </w:p>
    <w:p>
      <w:pPr>
        <w:ind w:firstLine="594"/>
      </w:pPr>
      <w:r>
        <w:rPr>
          <w:rFonts w:hint="eastAsia"/>
        </w:rPr>
        <w:t>对在烟花爆竹生产安全事故应急处置和救援工作中作出突出贡献的先进集体和个人，按照国家和省有关规定给予表彰和奖励。对玩忽职守、失职、渎职的有关责任人，要依据有关规定严肃追究责任，构成犯罪的，依法追究刑事责任。</w:t>
      </w:r>
    </w:p>
    <w:p>
      <w:pPr>
        <w:ind w:firstLine="594"/>
      </w:pPr>
      <w:r>
        <w:rPr>
          <w:rFonts w:hint="eastAsia"/>
        </w:rPr>
        <w:t>应按照“事故原因未查清不放过、责任人员未处理不放过、整改措施未落实不放过、有关人员未受到教育不放过”的“四不放过”原则严肃处理、追责问责，防止同类事故重复发生。</w:t>
      </w:r>
    </w:p>
    <w:p>
      <w:pPr>
        <w:pStyle w:val="3"/>
      </w:pPr>
      <w:bookmarkStart w:id="33" w:name="_Toc89418918"/>
      <w:r>
        <w:rPr>
          <w:rFonts w:hint="eastAsia"/>
        </w:rPr>
        <w:t>6</w:t>
      </w:r>
      <w:r>
        <w:t>.3 总结评估</w:t>
      </w:r>
      <w:bookmarkEnd w:id="33"/>
    </w:p>
    <w:p>
      <w:pPr>
        <w:ind w:firstLine="594"/>
      </w:pPr>
      <w:r>
        <w:rPr>
          <w:rFonts w:hint="eastAsia"/>
        </w:rPr>
        <w:t>事发地市县人民政府、洋浦经济开发区管委会应组织应急管理部门、有关部门和单位共同编制事故救援报告，说明事故的基本情况、应急救援经过，总结事故救援处置经验教训，提出加强和改进应急救援工作的对策措施和建议意见。必要时，应重新修订本预案。</w:t>
      </w:r>
    </w:p>
    <w:p>
      <w:pPr>
        <w:pStyle w:val="2"/>
      </w:pPr>
      <w:bookmarkStart w:id="34" w:name="_Toc89418919"/>
      <w:r>
        <w:rPr>
          <w:rFonts w:hint="eastAsia"/>
        </w:rPr>
        <w:t>7 应急保障</w:t>
      </w:r>
      <w:bookmarkEnd w:id="34"/>
    </w:p>
    <w:p>
      <w:pPr>
        <w:pStyle w:val="3"/>
      </w:pPr>
      <w:bookmarkStart w:id="35" w:name="_Toc89418920"/>
      <w:r>
        <w:rPr>
          <w:rFonts w:hint="eastAsia"/>
        </w:rPr>
        <w:t>7</w:t>
      </w:r>
      <w:r>
        <w:t>.1 通信与信息保障</w:t>
      </w:r>
      <w:bookmarkEnd w:id="35"/>
    </w:p>
    <w:p>
      <w:pPr>
        <w:ind w:firstLine="594"/>
      </w:pPr>
      <w:r>
        <w:t>各级通信管理</w:t>
      </w:r>
      <w:r>
        <w:rPr>
          <w:rFonts w:hint="eastAsia"/>
        </w:rPr>
        <w:t>部门</w:t>
      </w:r>
      <w:r>
        <w:t>及有关部门应建立健全应急通信、应急广播保障体系，完善公用通信网络，建立有线和无线相结合、基础电信网络与机动通信系统相配套的应急通信系统，确保通信畅通。各应急指挥机构有关部门以及各应急队伍应当至少保证1部专用固定电话24小时有人值守，确保通讯联络畅通。</w:t>
      </w:r>
    </w:p>
    <w:p>
      <w:pPr>
        <w:pStyle w:val="3"/>
      </w:pPr>
      <w:bookmarkStart w:id="36" w:name="_Toc89418921"/>
      <w:r>
        <w:rPr>
          <w:rFonts w:hint="eastAsia"/>
        </w:rPr>
        <w:t>7</w:t>
      </w:r>
      <w:r>
        <w:t>.</w:t>
      </w:r>
      <w:r>
        <w:rPr>
          <w:rFonts w:hint="eastAsia"/>
        </w:rPr>
        <w:t>2</w:t>
      </w:r>
      <w:r>
        <w:t xml:space="preserve"> </w:t>
      </w:r>
      <w:r>
        <w:rPr>
          <w:rFonts w:hint="eastAsia"/>
        </w:rPr>
        <w:t>应急救援</w:t>
      </w:r>
      <w:r>
        <w:t>队伍保障</w:t>
      </w:r>
      <w:bookmarkEnd w:id="36"/>
    </w:p>
    <w:p>
      <w:pPr>
        <w:ind w:firstLine="594"/>
      </w:pPr>
      <w:r>
        <w:t>建立健全烟花爆竹生产安全事故应急救援队伍，包括消防救援队伍、专业应急救援队伍、工程抢险队伍、社会应急救援队伍、企业应急救援队伍以及公安、卫生、环保和其他有关部门的应急救援队伍。适时组织开展多种形式的应急演练，不断提高实战能力。</w:t>
      </w:r>
    </w:p>
    <w:p>
      <w:pPr>
        <w:pStyle w:val="3"/>
      </w:pPr>
      <w:bookmarkStart w:id="37" w:name="_Toc89418922"/>
      <w:r>
        <w:rPr>
          <w:rFonts w:hint="eastAsia"/>
        </w:rPr>
        <w:t>7</w:t>
      </w:r>
      <w:r>
        <w:t>.</w:t>
      </w:r>
      <w:r>
        <w:rPr>
          <w:rFonts w:hint="eastAsia"/>
        </w:rPr>
        <w:t>3</w:t>
      </w:r>
      <w:r>
        <w:t xml:space="preserve"> </w:t>
      </w:r>
      <w:r>
        <w:rPr>
          <w:rFonts w:hint="eastAsia"/>
        </w:rPr>
        <w:t>应急物资</w:t>
      </w:r>
      <w:r>
        <w:t>装备保障</w:t>
      </w:r>
      <w:bookmarkEnd w:id="37"/>
    </w:p>
    <w:p>
      <w:pPr>
        <w:ind w:firstLine="594"/>
      </w:pPr>
      <w:r>
        <w:t>根据烟花爆竹特点和应急救援需要，配备泡沫车、药剂车、联用车、气防车和其他专业救援设备，加强管理，统一调度，为应急处置提供装备保障。</w:t>
      </w:r>
    </w:p>
    <w:p>
      <w:pPr>
        <w:pStyle w:val="3"/>
      </w:pPr>
      <w:bookmarkStart w:id="38" w:name="_Toc89418923"/>
      <w:r>
        <w:t>7</w:t>
      </w:r>
      <w:r>
        <w:rPr>
          <w:rFonts w:hint="eastAsia"/>
        </w:rPr>
        <w:t>.4 应急治安和</w:t>
      </w:r>
      <w:r>
        <w:t>交通</w:t>
      </w:r>
      <w:r>
        <w:rPr>
          <w:rFonts w:hint="eastAsia"/>
        </w:rPr>
        <w:t>保障</w:t>
      </w:r>
      <w:bookmarkEnd w:id="38"/>
    </w:p>
    <w:p>
      <w:pPr>
        <w:ind w:firstLine="594"/>
      </w:pPr>
      <w:r>
        <w:t>生</w:t>
      </w:r>
      <w:r>
        <w:rPr>
          <w:rFonts w:hint="eastAsia"/>
        </w:rPr>
        <w:t>产安全事故发生后，</w:t>
      </w:r>
      <w:r>
        <w:t>根据需要对事故现场采取警戒措施，强化治</w:t>
      </w:r>
      <w:r>
        <w:rPr>
          <w:rFonts w:hint="eastAsia"/>
        </w:rPr>
        <w:t>安管控，加强对重点地区、重点场所、重点人群、重要物资设备的防范保护，维持现场秩序。必要时，及时疏散群众，保持社会治安秩序的稳定。根据需要及时对现场和相关通道实行交通管控，开设应急救援特别通道，确保救灾物资、器材和人员的运送，形成快速、高效、顺畅、协调的应急运输系统。</w:t>
      </w:r>
    </w:p>
    <w:p>
      <w:pPr>
        <w:pStyle w:val="3"/>
      </w:pPr>
      <w:bookmarkStart w:id="39" w:name="_Toc89418924"/>
      <w:r>
        <w:rPr>
          <w:rFonts w:hint="eastAsia"/>
        </w:rPr>
        <w:t>7</w:t>
      </w:r>
      <w:r>
        <w:t xml:space="preserve">.5 </w:t>
      </w:r>
      <w:r>
        <w:rPr>
          <w:rFonts w:hint="eastAsia"/>
        </w:rPr>
        <w:t>应急经费</w:t>
      </w:r>
      <w:r>
        <w:t>保障</w:t>
      </w:r>
      <w:bookmarkEnd w:id="39"/>
    </w:p>
    <w:p>
      <w:pPr>
        <w:ind w:firstLine="594"/>
      </w:pPr>
      <w:r>
        <w:t>应急救援队伍参加生产安全事故应急救援所耗费用，由事故责任单位承担，事故责任单位无力承担的，由事发地政府协调解决。充分发挥社会保险作用，进一步健全区域公共安全保险体系。</w:t>
      </w:r>
    </w:p>
    <w:p>
      <w:pPr>
        <w:pStyle w:val="3"/>
      </w:pPr>
      <w:bookmarkStart w:id="40" w:name="_Toc89418925"/>
      <w:r>
        <w:rPr>
          <w:rFonts w:hint="eastAsia"/>
        </w:rPr>
        <w:t>7</w:t>
      </w:r>
      <w:r>
        <w:t xml:space="preserve">.6 </w:t>
      </w:r>
      <w:r>
        <w:rPr>
          <w:rFonts w:hint="eastAsia"/>
        </w:rPr>
        <w:t>应急</w:t>
      </w:r>
      <w:r>
        <w:t>医疗卫生保障</w:t>
      </w:r>
      <w:bookmarkEnd w:id="40"/>
    </w:p>
    <w:p>
      <w:pPr>
        <w:ind w:firstLine="594"/>
      </w:pPr>
      <w:r>
        <w:t>各级卫生健康部门应建立专业医疗救护队伍，配备专业救护设备，健全医疗卫生工作机制，指导或实施对</w:t>
      </w:r>
      <w:r>
        <w:rPr>
          <w:rFonts w:hint="eastAsia"/>
        </w:rPr>
        <w:t>烟花爆竹</w:t>
      </w:r>
      <w:r>
        <w:t>生产安全事故伤员的有效救治。</w:t>
      </w:r>
    </w:p>
    <w:p>
      <w:pPr>
        <w:pStyle w:val="3"/>
      </w:pPr>
      <w:bookmarkStart w:id="41" w:name="_Toc89418926"/>
      <w:r>
        <w:t>7</w:t>
      </w:r>
      <w:r>
        <w:rPr>
          <w:rFonts w:hint="eastAsia"/>
        </w:rPr>
        <w:t>.</w:t>
      </w:r>
      <w:r>
        <w:t>7</w:t>
      </w:r>
      <w:r>
        <w:rPr>
          <w:rFonts w:hint="eastAsia"/>
        </w:rPr>
        <w:t xml:space="preserve"> 法律保障</w:t>
      </w:r>
      <w:bookmarkEnd w:id="41"/>
    </w:p>
    <w:p>
      <w:pPr>
        <w:ind w:firstLine="594"/>
      </w:pPr>
      <w:r>
        <w:rPr>
          <w:rFonts w:hint="eastAsia"/>
        </w:rPr>
        <w:t>有关部门应加强安全监管执法，认真贯彻执行预防生产安全事故的法律法规，加强监测监督，严肃处理违法生产行为；严厉打击制造、传播虚假信息、扰乱民心的行为，为应急处置工作创造一个良好的环境，确保应急处置工作的顺利进行。</w:t>
      </w:r>
    </w:p>
    <w:p>
      <w:pPr>
        <w:pStyle w:val="3"/>
      </w:pPr>
      <w:bookmarkStart w:id="42" w:name="_Toc89418927"/>
      <w:r>
        <w:t>7</w:t>
      </w:r>
      <w:r>
        <w:rPr>
          <w:rFonts w:hint="eastAsia"/>
        </w:rPr>
        <w:t>.</w:t>
      </w:r>
      <w:r>
        <w:t>8</w:t>
      </w:r>
      <w:r>
        <w:rPr>
          <w:rFonts w:hint="eastAsia"/>
        </w:rPr>
        <w:t xml:space="preserve"> 应急避难场所保障</w:t>
      </w:r>
      <w:bookmarkEnd w:id="42"/>
    </w:p>
    <w:p>
      <w:pPr>
        <w:ind w:firstLine="594"/>
      </w:pPr>
      <w:r>
        <w:rPr>
          <w:rFonts w:hint="eastAsia"/>
        </w:rPr>
        <w:t>应急避难场所的归属单位应按照要求配置各种设施、设备，划定各类功能区，设置规范的标识牌，储备必要的物资，建立健全应急避难场所维护、管理制度和应急预案。</w:t>
      </w:r>
    </w:p>
    <w:p>
      <w:pPr>
        <w:pStyle w:val="3"/>
      </w:pPr>
      <w:bookmarkStart w:id="43" w:name="_Toc89418928"/>
      <w:r>
        <w:t>7</w:t>
      </w:r>
      <w:r>
        <w:rPr>
          <w:rFonts w:hint="eastAsia"/>
        </w:rPr>
        <w:t>.</w:t>
      </w:r>
      <w:r>
        <w:t>9</w:t>
      </w:r>
      <w:r>
        <w:rPr>
          <w:rFonts w:hint="eastAsia"/>
        </w:rPr>
        <w:t xml:space="preserve"> 科技支撑保障</w:t>
      </w:r>
      <w:bookmarkEnd w:id="43"/>
    </w:p>
    <w:p>
      <w:pPr>
        <w:ind w:firstLine="594"/>
      </w:pPr>
      <w:r>
        <w:rPr>
          <w:rFonts w:hint="eastAsia"/>
        </w:rPr>
        <w:t>建立烟花爆竹重大危险源数据库，根据重大危险源的普查情况，利用重大危险源、重大事故隐患分布和基本情况台账，为生产安全事故应急救援提供基本信息。</w:t>
      </w:r>
    </w:p>
    <w:p>
      <w:pPr>
        <w:ind w:firstLine="594"/>
      </w:pPr>
      <w:r>
        <w:t>利用已建立的数据库，掌握生产安全管理信息，为生产安全事故应急救援提供保障。</w:t>
      </w:r>
    </w:p>
    <w:p>
      <w:pPr>
        <w:ind w:firstLine="594"/>
      </w:pPr>
      <w:r>
        <w:t>依托高等院校和科研院所，开展生产安全事故应急救援技术、装备等专项研究，加强生产安全事故应急救援技术储备，为生产安全事故应急救援提供技术支持。</w:t>
      </w:r>
    </w:p>
    <w:p>
      <w:pPr>
        <w:pStyle w:val="3"/>
      </w:pPr>
      <w:bookmarkStart w:id="44" w:name="_Toc89418929"/>
      <w:r>
        <w:t>7</w:t>
      </w:r>
      <w:r>
        <w:rPr>
          <w:rFonts w:hint="eastAsia"/>
        </w:rPr>
        <w:t>.</w:t>
      </w:r>
      <w:r>
        <w:t>10</w:t>
      </w:r>
      <w:r>
        <w:rPr>
          <w:rFonts w:hint="eastAsia"/>
        </w:rPr>
        <w:t xml:space="preserve"> 电力保障</w:t>
      </w:r>
      <w:bookmarkEnd w:id="44"/>
    </w:p>
    <w:p>
      <w:pPr>
        <w:ind w:firstLine="594"/>
      </w:pPr>
      <w:r>
        <w:rPr>
          <w:rFonts w:hint="eastAsia"/>
        </w:rPr>
        <w:t>海南电网公司</w:t>
      </w:r>
      <w:r>
        <w:tab/>
      </w:r>
      <w:r>
        <w:rPr>
          <w:rFonts w:hint="eastAsia"/>
        </w:rPr>
        <w:t>负责编制海南省生产安全事故应急电力保障方案，为</w:t>
      </w:r>
      <w:r>
        <w:t>应急救援提供电力保障。</w:t>
      </w:r>
    </w:p>
    <w:p>
      <w:pPr>
        <w:pStyle w:val="3"/>
      </w:pPr>
      <w:bookmarkStart w:id="45" w:name="_Toc89418930"/>
      <w:r>
        <w:t>7</w:t>
      </w:r>
      <w:r>
        <w:rPr>
          <w:rFonts w:hint="eastAsia"/>
        </w:rPr>
        <w:t>.</w:t>
      </w:r>
      <w:r>
        <w:t>11</w:t>
      </w:r>
      <w:r>
        <w:rPr>
          <w:rFonts w:hint="eastAsia"/>
        </w:rPr>
        <w:t xml:space="preserve"> 保险制度</w:t>
      </w:r>
      <w:bookmarkEnd w:id="45"/>
    </w:p>
    <w:p>
      <w:pPr>
        <w:ind w:firstLine="594"/>
      </w:pPr>
      <w:r>
        <w:rPr>
          <w:rFonts w:hint="eastAsia"/>
          <w:color w:val="000000"/>
        </w:rPr>
        <w:t>鼓励各级人民政府建立政府推动与市场运作相结合的生产安全事故防范、处置及补偿机制，对存在较高安全生产风险的企业实行强制保险</w:t>
      </w:r>
      <w:r>
        <w:rPr>
          <w:rFonts w:hint="eastAsia"/>
        </w:rPr>
        <w:t>。鼓励保险机构根据法律法规的要求、地区安全生产情况和企业需求，做好安全生产责任保险产品的开发工作，为安全生产风险隐患提供保险保障，做好生产安全事故的应急处置、定损、赔偿等服务。鼓励生产经营单位投保安全生产责任保险，鼓励社会公众参与商业保障和互助保险，建立生产安全事故风险分担机制。</w:t>
      </w:r>
    </w:p>
    <w:p>
      <w:pPr>
        <w:pStyle w:val="2"/>
      </w:pPr>
      <w:bookmarkStart w:id="46" w:name="_Toc89418931"/>
      <w:r>
        <w:rPr>
          <w:rFonts w:hint="eastAsia"/>
        </w:rPr>
        <w:t>8 预案管理</w:t>
      </w:r>
      <w:bookmarkEnd w:id="46"/>
    </w:p>
    <w:p>
      <w:pPr>
        <w:pStyle w:val="3"/>
      </w:pPr>
      <w:bookmarkStart w:id="47" w:name="_Toc89418932"/>
      <w:r>
        <w:rPr>
          <w:rFonts w:hint="eastAsia"/>
        </w:rPr>
        <w:t>8.1 应急演练</w:t>
      </w:r>
      <w:bookmarkEnd w:id="47"/>
    </w:p>
    <w:p>
      <w:pPr>
        <w:ind w:firstLine="594"/>
      </w:pPr>
      <w:r>
        <w:rPr>
          <w:rFonts w:hint="eastAsia"/>
        </w:rPr>
        <w:t>省应急厅</w:t>
      </w:r>
      <w:r>
        <w:t>(省烟花爆竹主管部门)</w:t>
      </w:r>
      <w:r>
        <w:rPr>
          <w:rFonts w:hint="eastAsia"/>
        </w:rPr>
        <w:t>及</w:t>
      </w:r>
      <w:r>
        <w:t>有关部门不定期组织开展本预案演练，并加强对应急演练工作的督查指导。本预案演练应当至少每2年组织一次，演练结束后，省应急厅及参演单位应对演练效果进行评价，及时分析问题、整改完善。</w:t>
      </w:r>
    </w:p>
    <w:p>
      <w:pPr>
        <w:pStyle w:val="3"/>
      </w:pPr>
      <w:bookmarkStart w:id="48" w:name="_Toc89418933"/>
      <w:r>
        <w:rPr>
          <w:rFonts w:hint="eastAsia"/>
        </w:rPr>
        <w:t>8.2 宣传培训</w:t>
      </w:r>
      <w:bookmarkEnd w:id="48"/>
    </w:p>
    <w:p>
      <w:pPr>
        <w:ind w:firstLine="594"/>
      </w:pPr>
      <w:r>
        <w:t>各级人民政府、各有关单位要积极利用电视、广播、报刊等新闻媒体，广泛宣传相关法律法规、应急预案和公众避险、自救、互救知识，增强公众</w:t>
      </w:r>
      <w:r>
        <w:rPr>
          <w:rFonts w:hint="eastAsia"/>
        </w:rPr>
        <w:t>烟花爆竹</w:t>
      </w:r>
      <w:r>
        <w:t>防灾减灾意识。省应急厅</w:t>
      </w:r>
      <w:r>
        <w:rPr>
          <w:rFonts w:hint="eastAsia"/>
        </w:rPr>
        <w:t>等有关单位应组织烟花爆竹监管干部、应急救援人员开展应急管理相关培训，提升其预防和应对烟花爆竹生产安全事故的意识和能力。</w:t>
      </w:r>
    </w:p>
    <w:p>
      <w:pPr>
        <w:pStyle w:val="3"/>
      </w:pPr>
      <w:bookmarkStart w:id="49" w:name="_Toc89418934"/>
      <w:r>
        <w:t>8</w:t>
      </w:r>
      <w:r>
        <w:rPr>
          <w:rFonts w:hint="eastAsia"/>
        </w:rPr>
        <w:t>.</w:t>
      </w:r>
      <w:r>
        <w:t>3</w:t>
      </w:r>
      <w:r>
        <w:rPr>
          <w:rFonts w:hint="eastAsia"/>
        </w:rPr>
        <w:t xml:space="preserve"> 预案修订</w:t>
      </w:r>
      <w:bookmarkEnd w:id="49"/>
    </w:p>
    <w:p>
      <w:pPr>
        <w:ind w:firstLine="594"/>
      </w:pPr>
      <w:r>
        <w:t>省应急厅负责建立</w:t>
      </w:r>
      <w:r>
        <w:rPr>
          <w:rFonts w:hint="eastAsia"/>
        </w:rPr>
        <w:t>本</w:t>
      </w:r>
      <w:r>
        <w:t>急预案</w:t>
      </w:r>
      <w:r>
        <w:rPr>
          <w:rFonts w:hint="eastAsia"/>
        </w:rPr>
        <w:t>的</w:t>
      </w:r>
      <w:r>
        <w:t>评估制度，原则上至少每</w:t>
      </w:r>
      <w:r>
        <w:rPr>
          <w:rFonts w:hint="eastAsia"/>
        </w:rPr>
        <w:t>三</w:t>
      </w:r>
      <w:r>
        <w:t>年对本预案评估</w:t>
      </w:r>
      <w:r>
        <w:rPr>
          <w:rFonts w:hint="eastAsia"/>
        </w:rPr>
        <w:t>一</w:t>
      </w:r>
      <w:r>
        <w:t>次，并根据评估结果进行修订。有关法律法规对应急预案修订周期另有规定的，从其规定。有下列情形之一时，应当及时修订本预案：</w:t>
      </w:r>
    </w:p>
    <w:p>
      <w:pPr>
        <w:ind w:firstLine="594"/>
      </w:pPr>
      <w:r>
        <w:rPr>
          <w:rFonts w:hint="eastAsia"/>
        </w:rPr>
        <w:t>（1）有关法律、行政法规、规章、标准、上位预案中的有关规定发生变化的；</w:t>
      </w:r>
    </w:p>
    <w:p>
      <w:pPr>
        <w:ind w:firstLine="594"/>
      </w:pPr>
      <w:r>
        <w:rPr>
          <w:rFonts w:hint="eastAsia"/>
        </w:rPr>
        <w:t>（2）应急指挥机构及其职责发生重大调整的；</w:t>
      </w:r>
    </w:p>
    <w:p>
      <w:pPr>
        <w:ind w:firstLine="594"/>
      </w:pPr>
      <w:r>
        <w:rPr>
          <w:rFonts w:hint="eastAsia"/>
        </w:rPr>
        <w:t>（3）面临的风险发生重大变化的；</w:t>
      </w:r>
    </w:p>
    <w:p>
      <w:pPr>
        <w:ind w:firstLine="594"/>
      </w:pPr>
      <w:r>
        <w:rPr>
          <w:rFonts w:hint="eastAsia"/>
        </w:rPr>
        <w:t>（4）重要应急资源发生重大变化的；</w:t>
      </w:r>
    </w:p>
    <w:p>
      <w:pPr>
        <w:ind w:firstLine="594"/>
      </w:pPr>
      <w:r>
        <w:rPr>
          <w:rFonts w:hint="eastAsia"/>
        </w:rPr>
        <w:t>（5）预案中的其他重要信息发生变化的；</w:t>
      </w:r>
    </w:p>
    <w:p>
      <w:pPr>
        <w:ind w:firstLine="594"/>
      </w:pPr>
      <w:r>
        <w:rPr>
          <w:rFonts w:hint="eastAsia"/>
        </w:rPr>
        <w:t>（6）在事故实际应对和应急演练中发现问题需要作出重大调整的；</w:t>
      </w:r>
    </w:p>
    <w:p>
      <w:pPr>
        <w:ind w:firstLine="594"/>
      </w:pPr>
      <w:r>
        <w:rPr>
          <w:rFonts w:hint="eastAsia"/>
        </w:rPr>
        <w:t>（7）应急预案制定单位认为应当修订的其他情况。</w:t>
      </w:r>
    </w:p>
    <w:p>
      <w:pPr>
        <w:pStyle w:val="3"/>
      </w:pPr>
      <w:bookmarkStart w:id="50" w:name="_Toc89418935"/>
      <w:r>
        <w:t>8</w:t>
      </w:r>
      <w:r>
        <w:rPr>
          <w:rFonts w:hint="eastAsia"/>
        </w:rPr>
        <w:t>.</w:t>
      </w:r>
      <w:r>
        <w:t>4</w:t>
      </w:r>
      <w:r>
        <w:rPr>
          <w:rFonts w:hint="eastAsia"/>
        </w:rPr>
        <w:t xml:space="preserve"> 预案实施</w:t>
      </w:r>
      <w:bookmarkEnd w:id="50"/>
    </w:p>
    <w:p>
      <w:pPr>
        <w:ind w:firstLine="594"/>
      </w:pPr>
      <w:r>
        <w:rPr>
          <w:rFonts w:hint="eastAsia"/>
        </w:rPr>
        <w:t>本</w:t>
      </w:r>
      <w:r>
        <w:t>预案自印发之日起施行</w:t>
      </w:r>
      <w:r>
        <w:rPr>
          <w:rFonts w:hint="eastAsia"/>
        </w:rPr>
        <w:t>，《海南省烟花爆竹安全生产事故</w:t>
      </w:r>
      <w:r>
        <w:rPr>
          <w:rFonts w:hint="eastAsia"/>
          <w:lang w:eastAsia="zh-CN"/>
        </w:rPr>
        <w:t>灾难</w:t>
      </w:r>
      <w:r>
        <w:rPr>
          <w:rFonts w:hint="eastAsia"/>
        </w:rPr>
        <w:t>应急预案》（2</w:t>
      </w:r>
      <w:r>
        <w:t>016</w:t>
      </w:r>
      <w:r>
        <w:rPr>
          <w:rFonts w:hint="eastAsia"/>
        </w:rPr>
        <w:t>年版）同时废止。</w:t>
      </w:r>
    </w:p>
    <w:p>
      <w:pPr>
        <w:widowControl/>
        <w:autoSpaceDE/>
        <w:autoSpaceDN/>
        <w:spacing w:line="240" w:lineRule="auto"/>
        <w:ind w:firstLine="0" w:firstLineChars="0"/>
        <w:jc w:val="left"/>
        <w:sectPr>
          <w:pgSz w:w="11906" w:h="16838"/>
          <w:pgMar w:top="2098" w:right="1797" w:bottom="1588" w:left="1797" w:header="567" w:footer="0" w:gutter="0"/>
          <w:pgNumType w:fmt="numberInDash"/>
          <w:cols w:space="425" w:num="1"/>
          <w:docGrid w:type="linesAndChars" w:linePitch="597" w:charSpace="-4740"/>
        </w:sectPr>
      </w:pPr>
    </w:p>
    <w:p>
      <w:pPr>
        <w:pStyle w:val="2"/>
      </w:pPr>
      <w:bookmarkStart w:id="51" w:name="_Toc89418936"/>
      <w:r>
        <w:rPr>
          <w:rFonts w:hint="eastAsia"/>
        </w:rPr>
        <w:t xml:space="preserve">9 附 </w:t>
      </w:r>
      <w:r>
        <w:t xml:space="preserve"> </w:t>
      </w:r>
      <w:r>
        <w:rPr>
          <w:rFonts w:hint="eastAsia"/>
        </w:rPr>
        <w:t>则</w:t>
      </w:r>
      <w:bookmarkEnd w:id="51"/>
    </w:p>
    <w:p>
      <w:pPr>
        <w:pStyle w:val="3"/>
      </w:pPr>
      <w:bookmarkStart w:id="52" w:name="_Toc89418937"/>
      <w:r>
        <w:rPr>
          <w:rFonts w:hint="eastAsia"/>
        </w:rPr>
        <w:t>9</w:t>
      </w:r>
      <w:r>
        <w:t>.1 海南省</w:t>
      </w:r>
      <w:r>
        <w:rPr>
          <w:rFonts w:hint="eastAsia"/>
        </w:rPr>
        <w:t>烟花爆竹生产安全事故部门应急职责</w:t>
      </w:r>
      <w:bookmarkEnd w:id="52"/>
    </w:p>
    <w:tbl>
      <w:tblPr>
        <w:tblStyle w:val="31"/>
        <w:tblW w:w="1363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268"/>
        <w:gridCol w:w="10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b/>
                <w:sz w:val="24"/>
                <w:szCs w:val="21"/>
              </w:rPr>
            </w:pPr>
            <w:r>
              <w:rPr>
                <w:rFonts w:hint="eastAsia"/>
                <w:b/>
                <w:sz w:val="24"/>
                <w:szCs w:val="21"/>
              </w:rPr>
              <w:t>序号</w:t>
            </w:r>
          </w:p>
        </w:tc>
        <w:tc>
          <w:tcPr>
            <w:tcW w:w="2268" w:type="dxa"/>
            <w:shd w:val="clear" w:color="auto" w:fill="auto"/>
            <w:noWrap/>
            <w:vAlign w:val="center"/>
          </w:tcPr>
          <w:p>
            <w:pPr>
              <w:spacing w:line="240" w:lineRule="auto"/>
              <w:ind w:firstLine="0" w:firstLineChars="0"/>
              <w:jc w:val="center"/>
              <w:rPr>
                <w:b/>
                <w:sz w:val="24"/>
                <w:szCs w:val="21"/>
              </w:rPr>
            </w:pPr>
            <w:r>
              <w:rPr>
                <w:rFonts w:hint="eastAsia"/>
                <w:b/>
                <w:sz w:val="24"/>
                <w:szCs w:val="21"/>
              </w:rPr>
              <w:t>部门（单位）简称</w:t>
            </w:r>
          </w:p>
        </w:tc>
        <w:tc>
          <w:tcPr>
            <w:tcW w:w="10631" w:type="dxa"/>
            <w:shd w:val="clear" w:color="auto" w:fill="auto"/>
            <w:noWrap/>
            <w:vAlign w:val="center"/>
          </w:tcPr>
          <w:p>
            <w:pPr>
              <w:spacing w:line="240" w:lineRule="auto"/>
              <w:ind w:firstLine="0" w:firstLineChars="0"/>
              <w:jc w:val="center"/>
              <w:rPr>
                <w:b/>
                <w:sz w:val="24"/>
                <w:szCs w:val="21"/>
              </w:rPr>
            </w:pPr>
            <w:r>
              <w:rPr>
                <w:rFonts w:hint="eastAsia"/>
                <w:b/>
                <w:sz w:val="24"/>
                <w:szCs w:val="21"/>
              </w:rPr>
              <w:t>应急职责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省委宣传部</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负责指导事故应急救援工作的新闻报道，组织、协调省内新闻媒体统一发稿；涉及事故原因和责任问题的信息发布、新闻报道按有关规定报批。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省人民政府办公厅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负责省政府关于生产安全事故期间的应急值守工作，配合做好事故协调、信息发布工作。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省发改委</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负责为海南省影响较大的地方性突发事件提供必要的物资方面支持与保障（重点为成品油保障），按省烟花爆竹生产安全事故应急救援指挥部要求提供事故常用应急救援物资的储备数量和地点。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4</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省旅文厅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根据实际情况，配合做好烟花爆竹生产安全事故的应急救援和调查处理工作。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5</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省农业农村厅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根据实际情况，配合做好烟花爆竹生产安全事故的应急救援和调查处理工作。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6</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省工信厅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负责烟花爆竹生产安全事故应急通信的无线电频率协调保障。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7</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省财政厅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按照事权和支出责任划分原则，落实省级生产安全事故应急处置工作经费。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8</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省人社厅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负责组织指导各地区对事故伤亡人员的工伤认定和工伤保险待遇支付工作，并参与善后处理工作。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9</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省教育厅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根据实际情况，配合做好烟花爆竹生产安全事故的应急救援和调查处理工作。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10</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省卫健委</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指导协调事故受伤人员的紧急医学救援和卫生防疫工作。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11</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省公安厅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牵头处置烟花爆竹道路运输事故和燃放事故；指导协调事故现场及周边道路交通管控，事故现场警戒，维稳和涉案人员监控等工作。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12</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省司法厅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负责在烟花爆竹生产安全事故中存在的纠纷问题提供安全生产法律援助。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13</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省资规厅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承担烟花爆竹生产安全事故后的地质灾害防治技术支撑工作。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14</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省生态环境厅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指导协调事故现场及周边地区的应急环境监测工作。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15</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省住建厅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负责指导因烟花爆竹生产安全事故造成受损建（构）筑物的评估、鉴定、处置工作，指导事故发生城市开展相关城市基础设施和公用设施的处置和恢复重建工作。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16</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省交通运输厅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牵头处置烟花爆竹港口经营与储存、水路运输事故，指导协调与应急救援相关的交通运输保障工作。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17</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省商务厅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根据实际情况，参与烟花爆竹行业事故的应急救援和调查处理工作。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w:t>
            </w:r>
            <w:r>
              <w:rPr>
                <w:sz w:val="21"/>
                <w:szCs w:val="21"/>
              </w:rPr>
              <w:t>8</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省民政厅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负责会同有关部门指导、协调遇难人员遗体处置等相关事务。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19</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省水务厅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负责提供烟花爆竹生产安全事故所在地河流、水库的水情、险情及泄洪等信息；参与组织协调水库运行、水利工程建设等生产安全事故的应急救援工作。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20</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省应急厅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牵头处置烟花爆竹生产、经营、储存（不含港口经营与储存）事故，协调专业烟花爆竹救援队伍参与救援。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21</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省审计厅</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负责监督并审查烟花爆竹生产安全事故应急救援过程中的支出工作。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22</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省林业局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负责落实全省综合防灾减灾规划相关要求，组织编制森林火灾防治规划并指导实施；指导开展防火巡护、火源管理、防火设施建设等工作‘组织指导国有林场林区开展防火宣传教育、监测预警、督促检查工作。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23</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省国资委</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协调相关省属企业派出专、兼职应急救援队伍参与应急救援工作。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24</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省市场监管局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指导、协调烟花爆竹生产安全事故涉及原料、产品及其包装物的质量检测、质量鉴定和事故现场压力容器、压力管道等特种设备检测、认定，提出应急救援技术措施，对事故救援现场所需特种设备提供技术支持。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25</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省气象局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负责重大灾害性天气的监测、预报、报警工作，及时发布天气预警、预报信息；负责事故应急救援过程中的气象监测和气象预报工作。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26</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省地震局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负责建立烟花爆竹应急救援过程中的地震监测、预报、预警和震害防御工作体系。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27</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海南海事局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负责烟花爆竹生产安全事故现场的水上交通管控工作，依法参与船舶交通事故引发船载危险化学品污染内河水域或海域应急处置工作。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28</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民航海南安全监管局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经民航上级单位授权，负责牵头组织实施事故应急航空运输等工作。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29</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省通管局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监督、指导和协调基础电信运营企业做好矿山区域的通信保障工作。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30</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省大数据管理局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负责烟花爆竹生产安全事故应急通信的无线电频率协调保障。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31</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省邮政管理局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根据实际情况，配合做好烟花爆竹生产安全事故的应急救援和调查处理工作。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32</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海南银保监局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负责督促有关保险机构按照有关法律法规及保险合同约定做好保险理赔工作。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33</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省总工会</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依法参与重大、特别重大烟花爆竹生产安全事故的调查处理，向有关部门提出处理意见，督促事故发生单位防范和整改措施的落实。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34</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武警海南总队</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组织应急救援队伍，参加矿山事故应急处置和救援工作；协助公安部门维护应急期间的社会治安秩序，协助当地人民政府转移、解救危险区域的群众。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35</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省消防救援总队</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指导协调消防救援部队协助有关专业队伍做好以抢救人员生命为主的应急救援行动。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36</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海口海关</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协助公安部门对烟花爆竹生产安全事故中所涉及从海南口岸直接申报进出口的烟花爆竹来源进行调查。协调、督促海南省内海关严格执行法律法规和海关规章，有效落实与安全管理相关的进出境监管规定。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37</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南方能监局海南业务办公室</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指导协调事故现场及周边相关地区电力应急保障工作。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38</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省委网信办</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负责收集、跟踪境内外烟花爆竹生产安全事故舆情，负责互联网的监控、管理及网上舆论引导工作。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39</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广州铁路监督管理局</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参与、协调涉及到烟花爆竹的铁路交通事故、铁路工程施工领域的应急救援和调查处理工作；指导、督促铁路运输企业落实事故应急救援的各项规定。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40</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海南电网公司</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负责制定应急救援所需电网电力供应保障方案；储备相应的电力装备。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41</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海南铁路有限公司</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参与、协调涉及到烟花爆竹的铁路交通事故、铁路工程施工领域的应急救援和调查处理工作；指导、督促铁路运输企业落实事故应急救援的各项规定。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42</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事发地市县人民政府</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按照有关规定及时向省烟花爆竹生产安全事故应急救援指挥部及省直有关主管部门报告烟花爆竹生产安全事故情况，并在第一时间采取应急处置措施，开展应急救援工作，为省应急指挥部组织应急救援提供保障。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38" w:type="dxa"/>
            <w:shd w:val="clear" w:color="auto" w:fill="auto"/>
            <w:noWrap/>
            <w:vAlign w:val="center"/>
          </w:tcPr>
          <w:p>
            <w:pPr>
              <w:spacing w:line="240" w:lineRule="auto"/>
              <w:ind w:firstLine="0" w:firstLineChars="0"/>
              <w:jc w:val="center"/>
              <w:rPr>
                <w:sz w:val="21"/>
                <w:szCs w:val="21"/>
              </w:rPr>
            </w:pPr>
            <w:r>
              <w:rPr>
                <w:rFonts w:hint="eastAsia"/>
                <w:sz w:val="21"/>
                <w:szCs w:val="21"/>
              </w:rPr>
              <w:t>43</w:t>
            </w:r>
          </w:p>
        </w:tc>
        <w:tc>
          <w:tcPr>
            <w:tcW w:w="2268" w:type="dxa"/>
            <w:shd w:val="clear" w:color="auto" w:fill="auto"/>
            <w:noWrap/>
            <w:vAlign w:val="center"/>
          </w:tcPr>
          <w:p>
            <w:pPr>
              <w:spacing w:line="240" w:lineRule="auto"/>
              <w:ind w:firstLine="0" w:firstLineChars="0"/>
              <w:rPr>
                <w:sz w:val="21"/>
                <w:szCs w:val="21"/>
              </w:rPr>
            </w:pPr>
            <w:r>
              <w:rPr>
                <w:rFonts w:hint="eastAsia"/>
                <w:sz w:val="21"/>
                <w:szCs w:val="21"/>
              </w:rPr>
              <w:t>其他成员</w:t>
            </w:r>
          </w:p>
        </w:tc>
        <w:tc>
          <w:tcPr>
            <w:tcW w:w="10631" w:type="dxa"/>
            <w:shd w:val="clear" w:color="auto" w:fill="auto"/>
            <w:noWrap/>
            <w:vAlign w:val="center"/>
          </w:tcPr>
          <w:p>
            <w:pPr>
              <w:spacing w:line="240" w:lineRule="auto"/>
              <w:ind w:firstLine="0" w:firstLineChars="0"/>
              <w:rPr>
                <w:sz w:val="21"/>
                <w:szCs w:val="21"/>
              </w:rPr>
            </w:pPr>
            <w:r>
              <w:rPr>
                <w:rFonts w:hint="eastAsia"/>
                <w:sz w:val="21"/>
                <w:szCs w:val="21"/>
              </w:rPr>
              <w:t>在省人民政府的统一领导下，配合做好烟花爆竹生产安全事故应对工作。需要其他部门支持和配合时，省安委会负责协调。</w:t>
            </w:r>
          </w:p>
        </w:tc>
      </w:tr>
    </w:tbl>
    <w:p/>
    <w:p>
      <w:pPr>
        <w:pStyle w:val="3"/>
        <w:sectPr>
          <w:pgSz w:w="16838" w:h="11906" w:orient="landscape"/>
          <w:pgMar w:top="1701" w:right="1474" w:bottom="1134" w:left="1588" w:header="851" w:footer="992" w:gutter="0"/>
          <w:pgNumType w:fmt="numberInDash"/>
          <w:cols w:space="425" w:num="1"/>
          <w:docGrid w:type="linesAndChars" w:linePitch="435" w:charSpace="0"/>
        </w:sectPr>
      </w:pPr>
    </w:p>
    <w:p>
      <w:pPr>
        <w:pStyle w:val="3"/>
      </w:pPr>
      <w:bookmarkStart w:id="53" w:name="_Toc89418938"/>
      <w:r>
        <w:rPr>
          <w:rFonts w:hint="eastAsia"/>
        </w:rPr>
        <w:t>9.</w:t>
      </w:r>
      <w:r>
        <w:t xml:space="preserve">2 </w:t>
      </w:r>
      <w:r>
        <w:rPr>
          <w:rFonts w:hint="eastAsia"/>
        </w:rPr>
        <w:t>烟花爆竹预警信息发布工作要求</w:t>
      </w:r>
      <w:bookmarkEnd w:id="53"/>
    </w:p>
    <w:p>
      <w:pPr>
        <w:ind w:firstLine="594"/>
      </w:pPr>
      <w:r>
        <w:rPr>
          <w:rFonts w:hint="eastAsia"/>
        </w:rPr>
        <w:t>各级人民政府和有关部门对烟花爆竹生产安全事故可能造成的险情进行监测，及时上报可能引发重大及以上事故的险情，或其它灾害、灾难可能引发重大以上事故的重要信息，并及时发布预警。</w:t>
      </w:r>
    </w:p>
    <w:p>
      <w:pPr>
        <w:ind w:firstLine="594"/>
      </w:pPr>
    </w:p>
    <w:tbl>
      <w:tblPr>
        <w:tblStyle w:val="31"/>
        <w:tblW w:w="4852"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6"/>
        <w:gridCol w:w="1152"/>
        <w:gridCol w:w="1564"/>
        <w:gridCol w:w="1754"/>
        <w:gridCol w:w="1136"/>
        <w:gridCol w:w="1313"/>
        <w:gridCol w:w="3461"/>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76" w:type="pct"/>
            <w:tcBorders>
              <w:top w:val="single" w:color="auto" w:sz="4" w:space="0"/>
              <w:left w:val="single" w:color="auto" w:sz="4" w:space="0"/>
              <w:bottom w:val="single" w:color="auto" w:sz="4" w:space="0"/>
              <w:right w:val="single" w:color="auto" w:sz="4" w:space="0"/>
            </w:tcBorders>
            <w:vAlign w:val="center"/>
          </w:tcPr>
          <w:p>
            <w:pPr>
              <w:autoSpaceDN/>
              <w:adjustRightInd w:val="0"/>
              <w:spacing w:line="360" w:lineRule="auto"/>
              <w:ind w:firstLine="0" w:firstLineChars="0"/>
              <w:contextualSpacing/>
              <w:jc w:val="center"/>
              <w:rPr>
                <w:rFonts w:ascii="仿宋_GB2312" w:eastAsia="仿宋_GB2312"/>
                <w:b/>
                <w:color w:val="000000"/>
                <w:sz w:val="24"/>
              </w:rPr>
            </w:pPr>
            <w:r>
              <w:rPr>
                <w:rFonts w:hint="eastAsia" w:ascii="仿宋_GB2312" w:eastAsia="仿宋_GB2312"/>
                <w:b/>
                <w:color w:val="000000"/>
                <w:sz w:val="24"/>
              </w:rPr>
              <w:t>序号</w:t>
            </w:r>
          </w:p>
        </w:tc>
        <w:tc>
          <w:tcPr>
            <w:tcW w:w="444"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b/>
                <w:color w:val="000000"/>
                <w:sz w:val="24"/>
              </w:rPr>
            </w:pPr>
            <w:r>
              <w:rPr>
                <w:rFonts w:hint="eastAsia" w:ascii="仿宋_GB2312" w:eastAsia="仿宋_GB2312"/>
                <w:b/>
                <w:color w:val="000000"/>
                <w:sz w:val="24"/>
              </w:rPr>
              <w:t>场景描述</w:t>
            </w:r>
          </w:p>
        </w:tc>
        <w:tc>
          <w:tcPr>
            <w:tcW w:w="603"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险情信息接收</w:t>
            </w:r>
          </w:p>
        </w:tc>
        <w:tc>
          <w:tcPr>
            <w:tcW w:w="676"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省级预警响应</w:t>
            </w:r>
          </w:p>
        </w:tc>
        <w:tc>
          <w:tcPr>
            <w:tcW w:w="438"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主管部门</w:t>
            </w:r>
          </w:p>
        </w:tc>
        <w:tc>
          <w:tcPr>
            <w:tcW w:w="506"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发布时限/处置时限</w:t>
            </w:r>
          </w:p>
        </w:tc>
        <w:tc>
          <w:tcPr>
            <w:tcW w:w="1334"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省级预警处置措施</w:t>
            </w:r>
          </w:p>
        </w:tc>
        <w:tc>
          <w:tcPr>
            <w:tcW w:w="723" w:type="pct"/>
            <w:tcBorders>
              <w:top w:val="single" w:color="auto" w:sz="4" w:space="0"/>
              <w:left w:val="single" w:color="auto" w:sz="4" w:space="0"/>
              <w:bottom w:val="single" w:color="auto" w:sz="4" w:space="0"/>
              <w:right w:val="single" w:color="auto" w:sz="4" w:space="0"/>
            </w:tcBorders>
            <w:vAlign w:val="center"/>
          </w:tcPr>
          <w:p>
            <w:pPr>
              <w:autoSpaceDN/>
              <w:adjustRightInd w:val="0"/>
              <w:snapToGrid w:val="0"/>
              <w:spacing w:line="400" w:lineRule="exact"/>
              <w:ind w:firstLine="0" w:firstLineChars="0"/>
              <w:jc w:val="center"/>
              <w:rPr>
                <w:rFonts w:ascii="仿宋_GB2312" w:eastAsia="仿宋_GB2312"/>
                <w:b/>
                <w:color w:val="000000"/>
                <w:sz w:val="24"/>
              </w:rPr>
            </w:pPr>
            <w:r>
              <w:rPr>
                <w:rFonts w:hint="eastAsia" w:ascii="仿宋_GB2312" w:eastAsia="仿宋_GB2312"/>
                <w:b/>
                <w:color w:val="000000"/>
                <w:sz w:val="24"/>
              </w:rPr>
              <w:t>行动部门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jc w:val="center"/>
        </w:trPr>
        <w:tc>
          <w:tcPr>
            <w:tcW w:w="276" w:type="pct"/>
            <w:vMerge w:val="restart"/>
            <w:tcBorders>
              <w:top w:val="single" w:color="auto" w:sz="4" w:space="0"/>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1</w:t>
            </w:r>
          </w:p>
        </w:tc>
        <w:tc>
          <w:tcPr>
            <w:tcW w:w="444" w:type="pct"/>
            <w:vMerge w:val="restart"/>
            <w:tcBorders>
              <w:top w:val="single" w:color="auto" w:sz="4" w:space="0"/>
              <w:left w:val="nil"/>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烟花爆竹在道路运输过程中发生交通事故导致烟花爆竹燃烧爆炸引发险情</w:t>
            </w:r>
          </w:p>
        </w:tc>
        <w:tc>
          <w:tcPr>
            <w:tcW w:w="603" w:type="pct"/>
            <w:vMerge w:val="restart"/>
            <w:tcBorders>
              <w:top w:val="single" w:color="auto" w:sz="4" w:space="0"/>
              <w:left w:val="single" w:color="auto" w:sz="4" w:space="0"/>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市县级人民政府自接收险情后立即将险情信息报告至省人民政府及主管部门，并及时采取先期处置工作</w:t>
            </w:r>
          </w:p>
        </w:tc>
        <w:tc>
          <w:tcPr>
            <w:tcW w:w="676" w:type="pct"/>
            <w:vMerge w:val="restart"/>
            <w:tcBorders>
              <w:top w:val="single" w:color="auto" w:sz="4" w:space="0"/>
              <w:left w:val="single" w:color="auto" w:sz="4" w:space="0"/>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险情不断扩大，省人民政府及主管部门根据险情可能造成的后果及影响范围，研判预警级别，发布省级预警</w:t>
            </w:r>
          </w:p>
        </w:tc>
        <w:tc>
          <w:tcPr>
            <w:tcW w:w="438" w:type="pct"/>
            <w:vMerge w:val="restart"/>
            <w:tcBorders>
              <w:top w:val="single" w:color="auto" w:sz="4" w:space="0"/>
              <w:left w:val="single" w:color="auto" w:sz="4" w:space="0"/>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省公安厅</w:t>
            </w:r>
          </w:p>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省应急厅</w:t>
            </w:r>
          </w:p>
        </w:tc>
        <w:tc>
          <w:tcPr>
            <w:tcW w:w="506" w:type="pct"/>
            <w:vMerge w:val="restart"/>
            <w:tcBorders>
              <w:top w:val="single" w:color="auto" w:sz="4" w:space="0"/>
              <w:left w:val="single" w:color="auto" w:sz="4" w:space="0"/>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接收险情并研判核实后，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34" w:type="pct"/>
            <w:tcBorders>
              <w:top w:val="single" w:color="auto" w:sz="4" w:space="0"/>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组织先期抢险救援行动及监测、预警，力所能及地采取防控次生衍生灾害措施</w:t>
            </w:r>
          </w:p>
        </w:tc>
        <w:tc>
          <w:tcPr>
            <w:tcW w:w="723" w:type="pct"/>
            <w:tcBorders>
              <w:top w:val="single" w:color="auto"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8"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top w:val="single" w:color="auto" w:sz="4" w:space="0"/>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立即组织疏散可能影响区域群众</w:t>
            </w:r>
          </w:p>
        </w:tc>
        <w:tc>
          <w:tcPr>
            <w:tcW w:w="723" w:type="pct"/>
            <w:tcBorders>
              <w:top w:val="single" w:color="auto"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迅速控制危险源，在确保安全的情况下对泄漏源进行控制，防止事态扩大恶化，负责险情得到控制后的洗消工作</w:t>
            </w:r>
          </w:p>
        </w:tc>
        <w:tc>
          <w:tcPr>
            <w:tcW w:w="723" w:type="pct"/>
            <w:tcBorders>
              <w:top w:val="single" w:color="000000"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消防救援部门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封锁有关场所，划定警戒区，维护现场秩序，采取交通管制</w:t>
            </w:r>
          </w:p>
        </w:tc>
        <w:tc>
          <w:tcPr>
            <w:tcW w:w="723" w:type="pct"/>
            <w:tcBorders>
              <w:top w:val="single" w:color="000000"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7"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指导现场采取有效措施，防止污染环境</w:t>
            </w:r>
          </w:p>
        </w:tc>
        <w:tc>
          <w:tcPr>
            <w:tcW w:w="723" w:type="pct"/>
            <w:tcBorders>
              <w:top w:val="single" w:color="000000"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做好人员救治应急准备工作</w:t>
            </w:r>
          </w:p>
        </w:tc>
        <w:tc>
          <w:tcPr>
            <w:tcW w:w="723" w:type="pct"/>
            <w:tcBorders>
              <w:top w:val="single" w:color="000000"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医疗救护部门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276" w:type="pct"/>
            <w:vMerge w:val="continue"/>
            <w:tcBorders>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44" w:type="pct"/>
            <w:vMerge w:val="continue"/>
            <w:tcBorders>
              <w:left w:val="nil"/>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03"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506" w:type="pct"/>
            <w:vMerge w:val="continue"/>
            <w:tcBorders>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p>
        </w:tc>
        <w:tc>
          <w:tcPr>
            <w:tcW w:w="1334" w:type="pct"/>
            <w:tcBorders>
              <w:left w:val="single" w:color="auto"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负责协调应急资源</w:t>
            </w:r>
          </w:p>
        </w:tc>
        <w:tc>
          <w:tcPr>
            <w:tcW w:w="723" w:type="pct"/>
            <w:tcBorders>
              <w:top w:val="single" w:color="000000" w:sz="4" w:space="0"/>
              <w:left w:val="nil"/>
              <w:bottom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78" w:hRule="atLeast"/>
          <w:jc w:val="center"/>
        </w:trPr>
        <w:tc>
          <w:tcPr>
            <w:tcW w:w="276" w:type="pct"/>
            <w:vMerge w:val="restart"/>
            <w:tcBorders>
              <w:top w:val="single" w:color="000000" w:sz="4" w:space="0"/>
              <w:left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2</w:t>
            </w:r>
          </w:p>
        </w:tc>
        <w:tc>
          <w:tcPr>
            <w:tcW w:w="444" w:type="pct"/>
            <w:vMerge w:val="restart"/>
            <w:tcBorders>
              <w:top w:val="single" w:color="000000" w:sz="4" w:space="0"/>
              <w:left w:val="nil"/>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生产、经营储存（非港口）、使用烟花爆竹单位由于储存设备故障、检维修或使用过程中操作不当导致烟花爆竹燃烧爆炸引发的险情</w:t>
            </w:r>
          </w:p>
        </w:tc>
        <w:tc>
          <w:tcPr>
            <w:tcW w:w="603" w:type="pct"/>
            <w:vMerge w:val="restart"/>
            <w:tcBorders>
              <w:top w:val="single" w:color="auto" w:sz="4" w:space="0"/>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w:t>
            </w:r>
            <w:r>
              <w:rPr>
                <w:rFonts w:hint="eastAsia" w:ascii="仿宋_GB2312" w:eastAsia="仿宋_GB2312"/>
                <w:color w:val="000000"/>
                <w:sz w:val="21"/>
                <w:szCs w:val="21"/>
              </w:rPr>
              <w:t>并及时</w:t>
            </w:r>
            <w:r>
              <w:rPr>
                <w:rFonts w:ascii="仿宋_GB2312" w:eastAsia="仿宋_GB2312"/>
                <w:color w:val="000000"/>
                <w:sz w:val="21"/>
                <w:szCs w:val="21"/>
              </w:rPr>
              <w:t>采取先期处置工作</w:t>
            </w:r>
          </w:p>
          <w:p>
            <w:pPr>
              <w:autoSpaceDN/>
              <w:adjustRightInd w:val="0"/>
              <w:snapToGrid w:val="0"/>
              <w:spacing w:line="300" w:lineRule="exact"/>
              <w:ind w:firstLine="0" w:firstLineChars="0"/>
              <w:rPr>
                <w:rFonts w:ascii="仿宋_GB2312" w:eastAsia="仿宋_GB2312"/>
                <w:color w:val="000000"/>
                <w:sz w:val="21"/>
                <w:szCs w:val="21"/>
              </w:rPr>
            </w:pPr>
          </w:p>
        </w:tc>
        <w:tc>
          <w:tcPr>
            <w:tcW w:w="676" w:type="pct"/>
            <w:vMerge w:val="restart"/>
            <w:tcBorders>
              <w:top w:val="single" w:color="auto" w:sz="4" w:space="0"/>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p>
            <w:pPr>
              <w:autoSpaceDN/>
              <w:adjustRightInd w:val="0"/>
              <w:snapToGrid w:val="0"/>
              <w:spacing w:line="300" w:lineRule="exact"/>
              <w:ind w:firstLine="0" w:firstLineChars="0"/>
              <w:rPr>
                <w:rFonts w:ascii="仿宋_GB2312" w:eastAsia="仿宋_GB2312"/>
                <w:color w:val="000000"/>
                <w:sz w:val="21"/>
                <w:szCs w:val="21"/>
              </w:rPr>
            </w:pPr>
          </w:p>
        </w:tc>
        <w:tc>
          <w:tcPr>
            <w:tcW w:w="438" w:type="pct"/>
            <w:vMerge w:val="restart"/>
            <w:tcBorders>
              <w:top w:val="single" w:color="auto" w:sz="4" w:space="0"/>
              <w:left w:val="single" w:color="auto" w:sz="4" w:space="0"/>
              <w:right w:val="single" w:color="auto" w:sz="4" w:space="0"/>
            </w:tcBorders>
          </w:tcPr>
          <w:p>
            <w:pPr>
              <w:autoSpaceDN/>
              <w:adjustRightInd w:val="0"/>
              <w:snapToGrid w:val="0"/>
              <w:spacing w:line="300" w:lineRule="exact"/>
              <w:ind w:firstLine="0" w:firstLineChars="0"/>
              <w:rPr>
                <w:rFonts w:ascii="仿宋_GB2312" w:eastAsia="仿宋_GB2312"/>
                <w:color w:val="000000"/>
                <w:sz w:val="21"/>
                <w:szCs w:val="21"/>
              </w:rPr>
            </w:pPr>
            <w:r>
              <w:rPr>
                <w:rFonts w:ascii="仿宋_GB2312" w:eastAsia="仿宋_GB2312"/>
                <w:color w:val="000000"/>
                <w:sz w:val="21"/>
                <w:szCs w:val="21"/>
              </w:rPr>
              <w:t>省应急厅</w:t>
            </w:r>
          </w:p>
        </w:tc>
        <w:tc>
          <w:tcPr>
            <w:tcW w:w="506" w:type="pct"/>
            <w:vMerge w:val="restart"/>
            <w:tcBorders>
              <w:top w:val="single" w:color="auto" w:sz="4" w:space="0"/>
              <w:left w:val="single" w:color="auto" w:sz="4" w:space="0"/>
              <w:right w:val="single" w:color="auto"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接收险情并核实研判后，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组织先期抢险救援行动，力所能及地采取防控次生衍生灾害措施</w:t>
            </w:r>
          </w:p>
        </w:tc>
        <w:tc>
          <w:tcPr>
            <w:tcW w:w="723" w:type="pct"/>
            <w:tcBorders>
              <w:top w:val="single" w:color="000000" w:sz="4" w:space="0"/>
              <w:left w:val="nil"/>
              <w:bottom w:val="single" w:color="000000" w:sz="4" w:space="0"/>
              <w:right w:val="single" w:color="000000" w:sz="4" w:space="0"/>
            </w:tcBorders>
            <w:vAlign w:val="center"/>
          </w:tcPr>
          <w:p>
            <w:pPr>
              <w:adjustRightInd w:val="0"/>
              <w:snapToGrid w:val="0"/>
              <w:spacing w:line="300" w:lineRule="exact"/>
              <w:ind w:firstLine="0" w:firstLineChars="0"/>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43" w:hRule="atLeast"/>
          <w:jc w:val="center"/>
        </w:trPr>
        <w:tc>
          <w:tcPr>
            <w:tcW w:w="276" w:type="pct"/>
            <w:vMerge w:val="continue"/>
            <w:tcBorders>
              <w:left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03"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立即组织疏散可能影响区域群众，封锁有关场所，划定警戒区，维护现场秩序</w:t>
            </w:r>
          </w:p>
        </w:tc>
        <w:tc>
          <w:tcPr>
            <w:tcW w:w="723" w:type="pct"/>
            <w:tcBorders>
              <w:top w:val="single" w:color="000000" w:sz="4" w:space="0"/>
              <w:left w:val="nil"/>
              <w:bottom w:val="single" w:color="000000" w:sz="4" w:space="0"/>
              <w:right w:val="single" w:color="000000" w:sz="4" w:space="0"/>
            </w:tcBorders>
            <w:vAlign w:val="center"/>
          </w:tcPr>
          <w:p>
            <w:pPr>
              <w:adjustRightInd w:val="0"/>
              <w:snapToGrid w:val="0"/>
              <w:spacing w:line="320" w:lineRule="exact"/>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3" w:hRule="atLeast"/>
          <w:jc w:val="center"/>
        </w:trPr>
        <w:tc>
          <w:tcPr>
            <w:tcW w:w="276" w:type="pct"/>
            <w:vMerge w:val="continue"/>
            <w:tcBorders>
              <w:left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03"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迅速控制泄漏，在确保安全的情况下对泄漏源进行控制，防止事态扩大恶化，负责险情得到控制后的洗消工作</w:t>
            </w:r>
          </w:p>
        </w:tc>
        <w:tc>
          <w:tcPr>
            <w:tcW w:w="723" w:type="pct"/>
            <w:tcBorders>
              <w:top w:val="single" w:color="000000" w:sz="4" w:space="0"/>
              <w:left w:val="nil"/>
              <w:bottom w:val="single" w:color="000000" w:sz="4" w:space="0"/>
              <w:right w:val="single" w:color="000000" w:sz="4" w:space="0"/>
            </w:tcBorders>
            <w:vAlign w:val="center"/>
          </w:tcPr>
          <w:p>
            <w:pPr>
              <w:adjustRightInd w:val="0"/>
              <w:snapToGrid w:val="0"/>
              <w:spacing w:line="320" w:lineRule="exact"/>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消防救援部门、事故单位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90" w:hRule="atLeast"/>
          <w:jc w:val="center"/>
        </w:trPr>
        <w:tc>
          <w:tcPr>
            <w:tcW w:w="276" w:type="pct"/>
            <w:vMerge w:val="continue"/>
            <w:tcBorders>
              <w:left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03"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协调各种应急资源</w:t>
            </w:r>
          </w:p>
        </w:tc>
        <w:tc>
          <w:tcPr>
            <w:tcW w:w="723" w:type="pct"/>
            <w:tcBorders>
              <w:top w:val="single" w:color="000000" w:sz="4" w:space="0"/>
              <w:left w:val="nil"/>
              <w:bottom w:val="single" w:color="000000" w:sz="4" w:space="0"/>
              <w:right w:val="single" w:color="000000" w:sz="4" w:space="0"/>
            </w:tcBorders>
            <w:vAlign w:val="center"/>
          </w:tcPr>
          <w:p>
            <w:pPr>
              <w:adjustRightInd w:val="0"/>
              <w:snapToGrid w:val="0"/>
              <w:spacing w:line="320" w:lineRule="exact"/>
              <w:ind w:firstLine="0" w:firstLineChars="0"/>
              <w:jc w:val="center"/>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5" w:hRule="atLeast"/>
          <w:jc w:val="center"/>
        </w:trPr>
        <w:tc>
          <w:tcPr>
            <w:tcW w:w="276" w:type="pct"/>
            <w:vMerge w:val="continue"/>
            <w:tcBorders>
              <w:left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03"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指导现场采取有效措施，防止泄漏源污染环境</w:t>
            </w:r>
          </w:p>
        </w:tc>
        <w:tc>
          <w:tcPr>
            <w:tcW w:w="723" w:type="pct"/>
            <w:tcBorders>
              <w:top w:val="single" w:color="000000" w:sz="4" w:space="0"/>
              <w:left w:val="nil"/>
              <w:bottom w:val="single" w:color="000000" w:sz="4" w:space="0"/>
              <w:right w:val="single" w:color="000000" w:sz="4" w:space="0"/>
            </w:tcBorders>
            <w:vAlign w:val="center"/>
          </w:tcPr>
          <w:p>
            <w:pPr>
              <w:adjustRightInd w:val="0"/>
              <w:snapToGrid w:val="0"/>
              <w:spacing w:line="320" w:lineRule="exact"/>
              <w:ind w:firstLine="0" w:firstLineChars="0"/>
              <w:jc w:val="center"/>
              <w:rPr>
                <w:rFonts w:ascii="仿宋_GB2312" w:eastAsia="仿宋_GB2312"/>
                <w:color w:val="000000"/>
                <w:sz w:val="21"/>
                <w:szCs w:val="21"/>
              </w:rPr>
            </w:pPr>
            <w:r>
              <w:rPr>
                <w:rFonts w:hint="eastAsia" w:ascii="仿宋_GB2312" w:eastAsia="仿宋_GB2312"/>
                <w:color w:val="000000"/>
                <w:sz w:val="21"/>
                <w:szCs w:val="21"/>
              </w:rPr>
              <w:t>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48" w:hRule="atLeast"/>
          <w:jc w:val="center"/>
        </w:trPr>
        <w:tc>
          <w:tcPr>
            <w:tcW w:w="276" w:type="pct"/>
            <w:vMerge w:val="continue"/>
            <w:tcBorders>
              <w:left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03"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left w:val="single" w:color="auto" w:sz="4" w:space="0"/>
              <w:right w:val="single" w:color="auto" w:sz="4" w:space="0"/>
            </w:tcBorders>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做好人员救助的医疗救助准备工作</w:t>
            </w:r>
          </w:p>
        </w:tc>
        <w:tc>
          <w:tcPr>
            <w:tcW w:w="723" w:type="pct"/>
            <w:tcBorders>
              <w:top w:val="single" w:color="000000" w:sz="4" w:space="0"/>
              <w:left w:val="nil"/>
              <w:bottom w:val="single" w:color="000000" w:sz="4" w:space="0"/>
              <w:right w:val="single" w:color="000000" w:sz="4" w:space="0"/>
            </w:tcBorders>
            <w:vAlign w:val="center"/>
          </w:tcPr>
          <w:p>
            <w:pPr>
              <w:autoSpaceDN/>
              <w:adjustRightInd w:val="0"/>
              <w:spacing w:line="320" w:lineRule="exact"/>
              <w:ind w:firstLine="0" w:firstLineChars="0"/>
              <w:contextualSpacing/>
              <w:jc w:val="center"/>
              <w:rPr>
                <w:rFonts w:ascii="仿宋_GB2312" w:eastAsia="仿宋_GB2312"/>
                <w:color w:val="000000"/>
                <w:sz w:val="21"/>
                <w:szCs w:val="21"/>
              </w:rPr>
            </w:pPr>
            <w:r>
              <w:rPr>
                <w:rFonts w:hint="eastAsia" w:ascii="仿宋_GB2312" w:eastAsia="仿宋_GB2312"/>
                <w:color w:val="000000"/>
                <w:sz w:val="21"/>
                <w:szCs w:val="21"/>
              </w:rPr>
              <w:t>医疗救护部门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51" w:hRule="atLeast"/>
          <w:jc w:val="center"/>
        </w:trPr>
        <w:tc>
          <w:tcPr>
            <w:tcW w:w="276" w:type="pct"/>
            <w:vMerge w:val="continue"/>
            <w:tcBorders>
              <w:left w:val="single" w:color="000000" w:sz="4" w:space="0"/>
              <w:bottom w:val="single" w:color="000000" w:sz="4" w:space="0"/>
              <w:right w:val="single" w:color="000000" w:sz="4" w:space="0"/>
            </w:tcBorders>
            <w:vAlign w:val="center"/>
          </w:tcPr>
          <w:p>
            <w:pPr>
              <w:autoSpaceDN/>
              <w:adjustRightInd w:val="0"/>
              <w:spacing w:line="420" w:lineRule="exact"/>
              <w:ind w:firstLine="0" w:firstLineChars="0"/>
              <w:contextualSpacing/>
              <w:jc w:val="center"/>
              <w:rPr>
                <w:rFonts w:ascii="仿宋_GB2312" w:eastAsia="仿宋_GB2312"/>
                <w:color w:val="000000"/>
                <w:sz w:val="24"/>
              </w:rPr>
            </w:pPr>
          </w:p>
        </w:tc>
        <w:tc>
          <w:tcPr>
            <w:tcW w:w="444" w:type="pct"/>
            <w:vMerge w:val="continue"/>
            <w:tcBorders>
              <w:left w:val="nil"/>
              <w:bottom w:val="single" w:color="000000" w:sz="4" w:space="0"/>
              <w:right w:val="single" w:color="auto" w:sz="4" w:space="0"/>
            </w:tcBorders>
            <w:vAlign w:val="center"/>
          </w:tcPr>
          <w:p>
            <w:pPr>
              <w:autoSpaceDN/>
              <w:adjustRightInd w:val="0"/>
              <w:spacing w:line="320" w:lineRule="exact"/>
              <w:ind w:firstLine="0" w:firstLineChars="0"/>
              <w:contextualSpacing/>
              <w:jc w:val="left"/>
              <w:rPr>
                <w:rFonts w:ascii="仿宋_GB2312" w:eastAsia="仿宋_GB2312"/>
                <w:color w:val="000000"/>
                <w:sz w:val="21"/>
                <w:szCs w:val="21"/>
              </w:rPr>
            </w:pPr>
          </w:p>
        </w:tc>
        <w:tc>
          <w:tcPr>
            <w:tcW w:w="603" w:type="pct"/>
            <w:vMerge w:val="continue"/>
            <w:tcBorders>
              <w:top w:val="single" w:color="auto" w:sz="4" w:space="0"/>
              <w:left w:val="single" w:color="auto" w:sz="4" w:space="0"/>
              <w:bottom w:val="single" w:color="auto" w:sz="4" w:space="0"/>
              <w:right w:val="single" w:color="auto" w:sz="4" w:space="0"/>
            </w:tcBorders>
            <w:vAlign w:val="center"/>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676" w:type="pct"/>
            <w:vMerge w:val="continue"/>
            <w:tcBorders>
              <w:top w:val="single" w:color="auto" w:sz="4" w:space="0"/>
              <w:left w:val="single" w:color="auto" w:sz="4" w:space="0"/>
              <w:bottom w:val="single" w:color="auto" w:sz="4" w:space="0"/>
              <w:right w:val="single" w:color="auto" w:sz="4" w:space="0"/>
            </w:tcBorders>
            <w:vAlign w:val="center"/>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438" w:type="pct"/>
            <w:vMerge w:val="continue"/>
            <w:tcBorders>
              <w:top w:val="single" w:color="auto" w:sz="4" w:space="0"/>
              <w:left w:val="single" w:color="auto" w:sz="4" w:space="0"/>
              <w:bottom w:val="single" w:color="auto" w:sz="4" w:space="0"/>
              <w:right w:val="single" w:color="auto" w:sz="4" w:space="0"/>
            </w:tcBorders>
            <w:vAlign w:val="center"/>
          </w:tcPr>
          <w:p>
            <w:pPr>
              <w:autoSpaceDN/>
              <w:adjustRightInd w:val="0"/>
              <w:spacing w:line="420" w:lineRule="exact"/>
              <w:ind w:firstLine="0" w:firstLineChars="0"/>
              <w:contextualSpacing/>
              <w:jc w:val="center"/>
              <w:rPr>
                <w:rFonts w:ascii="仿宋_GB2312" w:eastAsia="仿宋_GB2312"/>
                <w:color w:val="000000"/>
                <w:sz w:val="21"/>
                <w:szCs w:val="21"/>
              </w:rPr>
            </w:pPr>
          </w:p>
        </w:tc>
        <w:tc>
          <w:tcPr>
            <w:tcW w:w="506" w:type="pct"/>
            <w:vMerge w:val="continue"/>
            <w:tcBorders>
              <w:top w:val="single" w:color="auto" w:sz="4" w:space="0"/>
              <w:left w:val="single" w:color="auto" w:sz="4" w:space="0"/>
              <w:bottom w:val="single" w:color="auto" w:sz="4" w:space="0"/>
              <w:right w:val="single" w:color="auto" w:sz="4" w:space="0"/>
            </w:tcBorders>
            <w:vAlign w:val="center"/>
          </w:tcPr>
          <w:p>
            <w:pPr>
              <w:autoSpaceDN/>
              <w:adjustRightInd w:val="0"/>
              <w:spacing w:line="300" w:lineRule="exact"/>
              <w:ind w:firstLine="0" w:firstLineChars="0"/>
              <w:contextualSpacing/>
              <w:jc w:val="left"/>
              <w:rPr>
                <w:rFonts w:ascii="仿宋_GB2312" w:eastAsia="仿宋_GB2312"/>
                <w:color w:val="000000"/>
                <w:sz w:val="21"/>
                <w:szCs w:val="21"/>
              </w:rPr>
            </w:pPr>
          </w:p>
        </w:tc>
        <w:tc>
          <w:tcPr>
            <w:tcW w:w="1334" w:type="pct"/>
            <w:tcBorders>
              <w:top w:val="single" w:color="000000" w:sz="4" w:space="0"/>
              <w:left w:val="single" w:color="auto" w:sz="4" w:space="0"/>
              <w:bottom w:val="single" w:color="000000" w:sz="4" w:space="0"/>
              <w:right w:val="single" w:color="000000" w:sz="4" w:space="0"/>
            </w:tcBorders>
            <w:vAlign w:val="center"/>
          </w:tcPr>
          <w:p>
            <w:pPr>
              <w:autoSpaceDN/>
              <w:adjustRightInd w:val="0"/>
              <w:spacing w:line="320" w:lineRule="exact"/>
              <w:ind w:firstLine="0" w:firstLineChars="0"/>
              <w:contextualSpacing/>
              <w:rPr>
                <w:rFonts w:ascii="仿宋_GB2312" w:eastAsia="仿宋_GB2312"/>
                <w:color w:val="000000"/>
                <w:sz w:val="21"/>
                <w:szCs w:val="21"/>
              </w:rPr>
            </w:pPr>
            <w:r>
              <w:rPr>
                <w:rFonts w:hint="eastAsia" w:ascii="仿宋_GB2312" w:eastAsia="仿宋_GB2312"/>
                <w:color w:val="000000"/>
                <w:sz w:val="21"/>
                <w:szCs w:val="21"/>
              </w:rPr>
              <w:t>做好人员救助的医疗救助准备工作</w:t>
            </w:r>
          </w:p>
        </w:tc>
        <w:tc>
          <w:tcPr>
            <w:tcW w:w="723" w:type="pct"/>
            <w:tcBorders>
              <w:top w:val="single" w:color="000000" w:sz="4" w:space="0"/>
              <w:left w:val="nil"/>
              <w:bottom w:val="single" w:color="000000" w:sz="4" w:space="0"/>
              <w:right w:val="single" w:color="000000" w:sz="4" w:space="0"/>
            </w:tcBorders>
            <w:vAlign w:val="center"/>
          </w:tcPr>
          <w:p>
            <w:pPr>
              <w:autoSpaceDN/>
              <w:adjustRightInd w:val="0"/>
              <w:spacing w:line="320" w:lineRule="exact"/>
              <w:ind w:firstLine="0" w:firstLineChars="0"/>
              <w:contextualSpacing/>
              <w:jc w:val="center"/>
              <w:rPr>
                <w:rFonts w:ascii="仿宋_GB2312" w:eastAsia="仿宋_GB2312"/>
                <w:color w:val="000000"/>
                <w:sz w:val="21"/>
                <w:szCs w:val="21"/>
              </w:rPr>
            </w:pPr>
            <w:r>
              <w:rPr>
                <w:rFonts w:hint="eastAsia" w:ascii="仿宋_GB2312" w:eastAsia="仿宋_GB2312"/>
                <w:color w:val="000000"/>
                <w:sz w:val="21"/>
                <w:szCs w:val="21"/>
              </w:rPr>
              <w:t>医疗救护部门</w:t>
            </w:r>
          </w:p>
        </w:tc>
      </w:tr>
    </w:tbl>
    <w:p>
      <w:pPr>
        <w:ind w:firstLine="594"/>
        <w:sectPr>
          <w:pgSz w:w="16838" w:h="11906" w:orient="landscape"/>
          <w:pgMar w:top="1797" w:right="1588" w:bottom="1797" w:left="2098" w:header="567" w:footer="0" w:gutter="0"/>
          <w:pgNumType w:fmt="numberInDash"/>
          <w:cols w:space="425" w:num="1"/>
          <w:docGrid w:type="linesAndChars" w:linePitch="597" w:charSpace="-4740"/>
        </w:sectPr>
      </w:pPr>
    </w:p>
    <w:p>
      <w:pPr>
        <w:pStyle w:val="3"/>
      </w:pPr>
      <w:bookmarkStart w:id="54" w:name="_Toc89418939"/>
      <w:r>
        <w:rPr>
          <w:rFonts w:hint="eastAsia"/>
        </w:rPr>
        <w:t>9.</w:t>
      </w:r>
      <w:r>
        <w:t xml:space="preserve">3 </w:t>
      </w:r>
      <w:r>
        <w:rPr>
          <w:rFonts w:hint="eastAsia"/>
        </w:rPr>
        <w:t>烟花爆竹危险等级分类</w:t>
      </w:r>
      <w:bookmarkEnd w:id="54"/>
    </w:p>
    <w:p>
      <w:pPr>
        <w:ind w:firstLine="594"/>
      </w:pPr>
      <w:r>
        <w:rPr>
          <w:rFonts w:hint="eastAsia"/>
        </w:rPr>
        <w:t>烟花爆竹按其爆炸危险性由高至低，划入了以下四项：</w:t>
      </w:r>
    </w:p>
    <w:p>
      <w:pPr>
        <w:ind w:firstLine="594"/>
      </w:pPr>
      <w:r>
        <w:t>1.1项：有整体爆竹危险的产品（整体爆竹是指实际上瞬间影响到几乎全部载荷的爆竹）</w:t>
      </w:r>
    </w:p>
    <w:p>
      <w:pPr>
        <w:ind w:firstLine="594"/>
      </w:pPr>
      <w:r>
        <w:t>1.2项：有</w:t>
      </w:r>
      <w:r>
        <w:rPr>
          <w:rFonts w:hint="eastAsia"/>
        </w:rPr>
        <w:t>迸</w:t>
      </w:r>
      <w:r>
        <w:t>射危险，但无整体爆竹危险的产品。</w:t>
      </w:r>
    </w:p>
    <w:p>
      <w:pPr>
        <w:ind w:firstLine="594"/>
      </w:pPr>
      <w:r>
        <w:t>1.3项：有燃烧危险并兼有局部爆竹危险或局部迸射危险之一或兼有这两种危险，但无整体爆竹危险的产品。本项包括：</w:t>
      </w:r>
    </w:p>
    <w:p>
      <w:pPr>
        <w:ind w:firstLine="594"/>
      </w:pPr>
      <w:r>
        <w:t>--产生相当大辐射热的产品</w:t>
      </w:r>
    </w:p>
    <w:p>
      <w:pPr>
        <w:ind w:firstLine="594"/>
      </w:pPr>
      <w:r>
        <w:t>--相继燃烧，产生局部爆炸或迸射效应，或两种效应兼而有之的产品。</w:t>
      </w:r>
    </w:p>
    <w:p>
      <w:pPr>
        <w:ind w:firstLine="594"/>
      </w:pPr>
      <w:r>
        <w:t>1.4项：不呈现重大危险的产品</w:t>
      </w:r>
    </w:p>
    <w:p>
      <w:pPr>
        <w:ind w:firstLine="594"/>
      </w:pPr>
      <w:r>
        <w:t>--本项包括运输中一旦点燃或引发时出现小危险的产品。其影响主要限于包件本身，并预计射出的碎片不大，射程也不远。外部火烧不会引发包件几乎全部内装物的瞬间爆炸；</w:t>
      </w:r>
    </w:p>
    <w:p>
      <w:pPr>
        <w:ind w:firstLine="594"/>
        <w:sectPr>
          <w:pgSz w:w="11906" w:h="16838"/>
          <w:pgMar w:top="2098" w:right="1797" w:bottom="1588" w:left="1797" w:header="567" w:footer="0" w:gutter="0"/>
          <w:pgNumType w:fmt="numberInDash"/>
          <w:cols w:space="425" w:num="1"/>
          <w:docGrid w:type="linesAndChars" w:linePitch="597" w:charSpace="-4740"/>
        </w:sectPr>
      </w:pPr>
      <w:r>
        <w:t>--本项产品列入配装组</w:t>
      </w:r>
      <w:r>
        <w:rPr>
          <w:rFonts w:ascii="Times New Roman" w:hAnsi="Times New Roman"/>
        </w:rPr>
        <w:t>S</w:t>
      </w:r>
      <w:r>
        <w:t>的条件是，其包装或设计能使偶然引起的任何危险效应局限于包件内，除非包件被烧损的情况下，所有爆炸或迸射效应也有限，不会对在包件紧邻处救火或采取其他应急措施造成重大妨碍。</w:t>
      </w:r>
    </w:p>
    <w:p>
      <w:pPr>
        <w:pStyle w:val="3"/>
      </w:pPr>
      <w:bookmarkStart w:id="55" w:name="_Toc89418940"/>
      <w:r>
        <w:rPr>
          <w:rFonts w:hint="eastAsia"/>
        </w:rPr>
        <w:t>9.</w:t>
      </w:r>
      <w:r>
        <w:t xml:space="preserve">4 </w:t>
      </w:r>
      <w:r>
        <w:rPr>
          <w:rFonts w:hint="eastAsia"/>
        </w:rPr>
        <w:t>消防车资源</w:t>
      </w:r>
      <w:bookmarkEnd w:id="55"/>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海南逸盛石化有限公司</w:t>
            </w:r>
          </w:p>
        </w:tc>
      </w:tr>
      <w:tr>
        <w:tblPrEx>
          <w:tblCellMar>
            <w:top w:w="0" w:type="dxa"/>
            <w:left w:w="108" w:type="dxa"/>
            <w:bottom w:w="0" w:type="dxa"/>
            <w:right w:w="108" w:type="dxa"/>
          </w:tblCellMar>
        </w:tblPrEx>
        <w:trPr>
          <w:trHeight w:val="630"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宋晓军：0898-28813811</w:t>
            </w:r>
          </w:p>
        </w:tc>
        <w:tc>
          <w:tcPr>
            <w:tcW w:w="5528"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地址：洋浦经济开发区滨海大道西侧石化功能区海南逸盛石化有限公司厂区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JDF5204GXFPM80型泡沫消防车（水、泡沐）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泡沫≥65</w:t>
            </w:r>
            <w:r>
              <w:rPr>
                <w:sz w:val="21"/>
                <w:szCs w:val="21"/>
              </w:rPr>
              <w:t xml:space="preserve">m  </w:t>
            </w:r>
            <w:r>
              <w:rPr>
                <w:rFonts w:hint="eastAsia"/>
                <w:sz w:val="21"/>
                <w:szCs w:val="21"/>
              </w:rPr>
              <w:t>水≥70</w:t>
            </w:r>
            <w:r>
              <w:rPr>
                <w:sz w:val="21"/>
                <w:szCs w:val="21"/>
              </w:rPr>
              <w:t>m</w:t>
            </w:r>
          </w:p>
        </w:tc>
      </w:tr>
      <w:tr>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JDF5190GXFGP70/Z型干粉泡沫联用消防车（水、泡沐、干粉）</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泡沫≥65</w:t>
            </w:r>
            <w:r>
              <w:rPr>
                <w:sz w:val="21"/>
                <w:szCs w:val="21"/>
              </w:rPr>
              <w:t xml:space="preserve">m  </w:t>
            </w:r>
            <w:r>
              <w:rPr>
                <w:rFonts w:hint="eastAsia"/>
                <w:sz w:val="21"/>
                <w:szCs w:val="21"/>
              </w:rPr>
              <w:t>水≥70</w:t>
            </w:r>
            <w:r>
              <w:rPr>
                <w:sz w:val="21"/>
                <w:szCs w:val="21"/>
              </w:rPr>
              <w:t>m</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中国石化海南炼油化工有限公司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卞凤鸣：0898-28820068</w:t>
            </w:r>
            <w:r>
              <w:rPr>
                <w:sz w:val="21"/>
                <w:szCs w:val="21"/>
              </w:rPr>
              <w:t xml:space="preserve">  </w:t>
            </w:r>
            <w:r>
              <w:rPr>
                <w:rFonts w:hint="eastAsia"/>
                <w:sz w:val="21"/>
                <w:szCs w:val="21"/>
              </w:rPr>
              <w:t>（24小时值班电话：0898-28820000）</w:t>
            </w:r>
          </w:p>
        </w:tc>
        <w:tc>
          <w:tcPr>
            <w:tcW w:w="5528" w:type="dxa"/>
            <w:tcBorders>
              <w:top w:val="single" w:color="auto" w:sz="12" w:space="0"/>
              <w:left w:val="single" w:color="auto" w:sz="12" w:space="0"/>
              <w:bottom w:val="nil"/>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地址：海南省洋浦经济开发区洋浦大道1号</w:t>
            </w:r>
          </w:p>
        </w:tc>
      </w:tr>
      <w:tr>
        <w:tblPrEx>
          <w:tblCellMar>
            <w:top w:w="0" w:type="dxa"/>
            <w:left w:w="108" w:type="dxa"/>
            <w:bottom w:w="0" w:type="dxa"/>
            <w:right w:w="108" w:type="dxa"/>
          </w:tblCellMar>
        </w:tblPrEx>
        <w:trPr>
          <w:trHeight w:val="315"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海南炼化专职消防队</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专职消防队员总数：50人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ZXF5380GXFPM180（水、泡沐）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120</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SXF5280GXFPM120B（水、泡沐）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水≥85米     泡沫≥75米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MX5420JXFJP36/SS（水、泡沫、干粉）</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水≥80米     泡沫≥75米  干粉≥30米（未充装氮气）</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MX5381GXFPM180（水、泡沐）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120</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MX5381GXFPM180（水、泡沐）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120</w:t>
            </w:r>
          </w:p>
        </w:tc>
      </w:tr>
    </w:tbl>
    <w:p>
      <w:pPr>
        <w:spacing w:line="240" w:lineRule="auto"/>
        <w:ind w:firstLine="0" w:firstLineChars="0"/>
        <w:rPr>
          <w:sz w:val="2"/>
          <w:szCs w:val="10"/>
        </w:rPr>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中国石化海南炼油化工有限公司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4" w:space="0"/>
              <w:right w:val="single" w:color="auto" w:sz="12" w:space="0"/>
            </w:tcBorders>
            <w:vAlign w:val="center"/>
          </w:tcPr>
          <w:p>
            <w:pPr>
              <w:spacing w:line="240" w:lineRule="auto"/>
              <w:ind w:firstLine="0" w:firstLineChars="0"/>
              <w:rPr>
                <w:sz w:val="21"/>
                <w:szCs w:val="21"/>
              </w:rPr>
            </w:pPr>
            <w:r>
              <w:rPr>
                <w:rFonts w:hint="eastAsia"/>
                <w:sz w:val="21"/>
                <w:szCs w:val="21"/>
              </w:rPr>
              <w:t>卞凤鸣：0898-28820068</w:t>
            </w:r>
            <w:r>
              <w:rPr>
                <w:sz w:val="21"/>
                <w:szCs w:val="21"/>
              </w:rPr>
              <w:t xml:space="preserve">  </w:t>
            </w:r>
            <w:r>
              <w:rPr>
                <w:rFonts w:hint="eastAsia"/>
                <w:sz w:val="21"/>
                <w:szCs w:val="21"/>
              </w:rPr>
              <w:t>（24小时值班电话：0898-28820000）</w:t>
            </w:r>
          </w:p>
        </w:tc>
        <w:tc>
          <w:tcPr>
            <w:tcW w:w="5528" w:type="dxa"/>
            <w:tcBorders>
              <w:top w:val="single" w:color="auto" w:sz="12" w:space="0"/>
              <w:left w:val="single" w:color="auto" w:sz="12"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地址：海南省洋浦经济开发区洋浦大道1号</w:t>
            </w:r>
          </w:p>
        </w:tc>
      </w:tr>
      <w:tr>
        <w:tblPrEx>
          <w:tblCellMar>
            <w:top w:w="0" w:type="dxa"/>
            <w:left w:w="108" w:type="dxa"/>
            <w:bottom w:w="0" w:type="dxa"/>
            <w:right w:w="108" w:type="dxa"/>
          </w:tblCellMar>
        </w:tblPrEx>
        <w:trPr>
          <w:trHeight w:val="315"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国家危险化学品</w:t>
            </w:r>
            <w:r>
              <w:rPr>
                <w:sz w:val="21"/>
                <w:szCs w:val="21"/>
              </w:rPr>
              <w:t>应急救援洋浦基地</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w:t>
            </w:r>
            <w:r>
              <w:rPr>
                <w:sz w:val="21"/>
                <w:szCs w:val="21"/>
              </w:rPr>
              <w:t>100</w:t>
            </w:r>
            <w:r>
              <w:rPr>
                <w:rFonts w:hint="eastAsia"/>
                <w:sz w:val="21"/>
                <w:szCs w:val="21"/>
              </w:rPr>
              <w:t>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MX5381GXFPM180</w:t>
            </w:r>
            <w:r>
              <w:rPr>
                <w:rFonts w:hint="eastAsia"/>
                <w:sz w:val="21"/>
                <w:szCs w:val="21"/>
              </w:rPr>
              <w:t>（水、泡沐）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120</w:t>
            </w:r>
            <w:r>
              <w:rPr>
                <w:sz w:val="21"/>
                <w:szCs w:val="21"/>
              </w:rPr>
              <w:t xml:space="preserve">    </w:t>
            </w:r>
            <w:r>
              <w:rPr>
                <w:rFonts w:hint="eastAsia"/>
                <w:sz w:val="21"/>
                <w:szCs w:val="21"/>
              </w:rPr>
              <w:t>泡沫</w:t>
            </w:r>
            <w:r>
              <w:rPr>
                <w:sz w:val="21"/>
                <w:szCs w:val="21"/>
              </w:rPr>
              <w:t>≥100</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MX5381GXFPM180</w:t>
            </w:r>
            <w:r>
              <w:rPr>
                <w:rFonts w:hint="eastAsia"/>
                <w:sz w:val="21"/>
                <w:szCs w:val="21"/>
              </w:rPr>
              <w:t>（水、泡沐）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120</w:t>
            </w:r>
            <w:r>
              <w:rPr>
                <w:sz w:val="21"/>
                <w:szCs w:val="21"/>
              </w:rPr>
              <w:t xml:space="preserve">    </w:t>
            </w:r>
            <w:r>
              <w:rPr>
                <w:rFonts w:hint="eastAsia"/>
                <w:sz w:val="21"/>
                <w:szCs w:val="21"/>
              </w:rPr>
              <w:t>泡沫</w:t>
            </w:r>
            <w:r>
              <w:rPr>
                <w:sz w:val="21"/>
                <w:szCs w:val="21"/>
              </w:rPr>
              <w:t>≥100</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SXT5417JXFJP18</w:t>
            </w:r>
            <w:r>
              <w:rPr>
                <w:rFonts w:hint="eastAsia"/>
                <w:sz w:val="21"/>
                <w:szCs w:val="21"/>
              </w:rPr>
              <w:t>（水、泡沫）</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≥100    </w:t>
            </w:r>
            <w:r>
              <w:rPr>
                <w:rFonts w:hint="eastAsia"/>
                <w:sz w:val="21"/>
                <w:szCs w:val="21"/>
              </w:rPr>
              <w:t>泡沫</w:t>
            </w:r>
            <w:r>
              <w:rPr>
                <w:sz w:val="21"/>
                <w:szCs w:val="21"/>
              </w:rPr>
              <w:t>≥80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SXT5430JXFJP51/33</w:t>
            </w:r>
            <w:r>
              <w:rPr>
                <w:rFonts w:hint="eastAsia"/>
                <w:sz w:val="21"/>
                <w:szCs w:val="21"/>
              </w:rPr>
              <w:t>（水、泡沐）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SXT5430JXFJP51/33</w:t>
            </w:r>
            <w:r>
              <w:rPr>
                <w:rFonts w:hint="eastAsia"/>
                <w:sz w:val="21"/>
                <w:szCs w:val="21"/>
              </w:rPr>
              <w:t>（水、泡沐）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XZJ5421JXFJP62/S1</w:t>
            </w:r>
            <w:r>
              <w:rPr>
                <w:rFonts w:hint="eastAsia"/>
                <w:sz w:val="21"/>
                <w:szCs w:val="21"/>
              </w:rPr>
              <w:t>（水、泡沐）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7</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XZJ5421JXFJP62/S1</w:t>
            </w:r>
            <w:r>
              <w:rPr>
                <w:rFonts w:hint="eastAsia"/>
                <w:sz w:val="21"/>
                <w:szCs w:val="21"/>
              </w:rPr>
              <w:t>（水、泡沐）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8</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SXT5420JXFJP70</w:t>
            </w:r>
            <w:r>
              <w:rPr>
                <w:rFonts w:hint="eastAsia"/>
                <w:sz w:val="21"/>
                <w:szCs w:val="21"/>
              </w:rPr>
              <w:t>（水、泡沐）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9</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MX5340JXFJP25/SS</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水≥80米     泡沫≥</w:t>
            </w:r>
            <w:r>
              <w:rPr>
                <w:sz w:val="21"/>
                <w:szCs w:val="21"/>
              </w:rPr>
              <w:t>60</w:t>
            </w:r>
            <w:r>
              <w:rPr>
                <w:rFonts w:hint="eastAsia"/>
                <w:sz w:val="21"/>
                <w:szCs w:val="21"/>
              </w:rPr>
              <w:t>米  干粉≥30米（未充装氮气）</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10</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MX5270TXFBP400</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增压</w:t>
            </w:r>
            <w:r>
              <w:rPr>
                <w:sz w:val="21"/>
                <w:szCs w:val="21"/>
              </w:rPr>
              <w:t>泵浦车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11</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MX5270TXFBP400/P</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200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12</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SXF5151TXFJY168</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抢险救援</w:t>
            </w:r>
            <w:r>
              <w:rPr>
                <w:sz w:val="21"/>
                <w:szCs w:val="21"/>
              </w:rPr>
              <w:t>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13</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MX5043TXFTZ1000</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气防消防车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14</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LLX5145TXFGQ90/L</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供气消防车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16</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17</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18</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LLX5185TXFXX30/B</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洗消消防车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19</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CEV5160XTX</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通讯指挥消防车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12" w:space="0"/>
              <w:right w:val="single" w:color="auto" w:sz="4" w:space="0"/>
            </w:tcBorders>
            <w:vAlign w:val="center"/>
          </w:tcPr>
          <w:p>
            <w:pPr>
              <w:spacing w:line="240" w:lineRule="auto"/>
              <w:ind w:firstLine="0" w:firstLineChars="0"/>
              <w:jc w:val="center"/>
              <w:rPr>
                <w:sz w:val="21"/>
                <w:szCs w:val="21"/>
              </w:rPr>
            </w:pPr>
            <w:r>
              <w:rPr>
                <w:rFonts w:hint="eastAsia"/>
                <w:sz w:val="21"/>
                <w:szCs w:val="21"/>
              </w:rPr>
              <w:t>20</w:t>
            </w:r>
          </w:p>
        </w:tc>
        <w:tc>
          <w:tcPr>
            <w:tcW w:w="6946" w:type="dxa"/>
            <w:tcBorders>
              <w:top w:val="single" w:color="auto" w:sz="4" w:space="0"/>
              <w:left w:val="nil"/>
              <w:bottom w:val="single" w:color="auto" w:sz="12" w:space="0"/>
              <w:right w:val="single" w:color="auto" w:sz="4" w:space="0"/>
            </w:tcBorders>
            <w:vAlign w:val="center"/>
          </w:tcPr>
          <w:p>
            <w:pPr>
              <w:spacing w:line="240" w:lineRule="auto"/>
              <w:ind w:firstLine="0" w:firstLineChars="0"/>
              <w:rPr>
                <w:sz w:val="21"/>
                <w:szCs w:val="21"/>
              </w:rPr>
            </w:pPr>
            <w:r>
              <w:rPr>
                <w:sz w:val="21"/>
                <w:szCs w:val="21"/>
              </w:rPr>
              <w:t>SXF5361GXFGY200</w:t>
            </w:r>
          </w:p>
        </w:tc>
        <w:tc>
          <w:tcPr>
            <w:tcW w:w="5528" w:type="dxa"/>
            <w:tcBorders>
              <w:top w:val="single" w:color="auto" w:sz="4" w:space="0"/>
              <w:left w:val="nil"/>
              <w:bottom w:val="single" w:color="auto" w:sz="12" w:space="0"/>
              <w:right w:val="single" w:color="auto" w:sz="18" w:space="0"/>
            </w:tcBorders>
            <w:vAlign w:val="center"/>
          </w:tcPr>
          <w:p>
            <w:pPr>
              <w:spacing w:line="240" w:lineRule="auto"/>
              <w:ind w:firstLine="0" w:firstLineChars="0"/>
              <w:rPr>
                <w:sz w:val="21"/>
                <w:szCs w:val="21"/>
              </w:rPr>
            </w:pPr>
            <w:r>
              <w:rPr>
                <w:rFonts w:hint="eastAsia"/>
                <w:sz w:val="21"/>
                <w:szCs w:val="21"/>
              </w:rPr>
              <w:t>泡沫原液供液车</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663"/>
        <w:gridCol w:w="5811"/>
      </w:tblGrid>
      <w:tr>
        <w:tblPrEx>
          <w:tblCellMar>
            <w:top w:w="0" w:type="dxa"/>
            <w:left w:w="108" w:type="dxa"/>
            <w:bottom w:w="0" w:type="dxa"/>
            <w:right w:w="108" w:type="dxa"/>
          </w:tblCellMar>
        </w:tblPrEx>
        <w:trPr>
          <w:trHeight w:val="282"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4"/>
                <w:szCs w:val="21"/>
              </w:rPr>
            </w:pPr>
            <w:r>
              <w:rPr>
                <w:rFonts w:hint="eastAsia"/>
                <w:b/>
                <w:sz w:val="24"/>
                <w:szCs w:val="21"/>
              </w:rPr>
              <w:t>中海石油海南天然气有限公司</w:t>
            </w:r>
          </w:p>
        </w:tc>
      </w:tr>
      <w:tr>
        <w:tblPrEx>
          <w:tblCellMar>
            <w:top w:w="0" w:type="dxa"/>
            <w:left w:w="108" w:type="dxa"/>
            <w:bottom w:w="0" w:type="dxa"/>
            <w:right w:w="108" w:type="dxa"/>
          </w:tblCellMar>
        </w:tblPrEx>
        <w:trPr>
          <w:trHeight w:val="434"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663"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汪俊华：0898-</w:t>
            </w:r>
            <w:r>
              <w:rPr>
                <w:sz w:val="21"/>
                <w:szCs w:val="21"/>
              </w:rPr>
              <w:t>28835951</w:t>
            </w:r>
          </w:p>
        </w:tc>
        <w:tc>
          <w:tcPr>
            <w:tcW w:w="5811"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地址：洋浦经济开发区滨海大道7</w:t>
            </w:r>
            <w:r>
              <w:rPr>
                <w:sz w:val="21"/>
                <w:szCs w:val="21"/>
              </w:rPr>
              <w:t>5</w:t>
            </w:r>
            <w:r>
              <w:rPr>
                <w:rFonts w:hint="eastAsia"/>
                <w:sz w:val="21"/>
                <w:szCs w:val="21"/>
              </w:rPr>
              <w:t>号海南LNG</w:t>
            </w:r>
          </w:p>
        </w:tc>
      </w:tr>
      <w:tr>
        <w:tblPrEx>
          <w:tblCellMar>
            <w:top w:w="0" w:type="dxa"/>
            <w:left w:w="108" w:type="dxa"/>
            <w:bottom w:w="0" w:type="dxa"/>
            <w:right w:w="108" w:type="dxa"/>
          </w:tblCellMar>
        </w:tblPrEx>
        <w:trPr>
          <w:trHeight w:val="418" w:hRule="atLeast"/>
        </w:trPr>
        <w:tc>
          <w:tcPr>
            <w:tcW w:w="13598" w:type="dxa"/>
            <w:gridSpan w:val="3"/>
            <w:tcBorders>
              <w:top w:val="nil"/>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专职消防队总人数：1</w:t>
            </w:r>
            <w:r>
              <w:rPr>
                <w:sz w:val="21"/>
                <w:szCs w:val="21"/>
              </w:rPr>
              <w:t>9</w:t>
            </w:r>
            <w:r>
              <w:rPr>
                <w:rFonts w:hint="eastAsia"/>
                <w:sz w:val="21"/>
                <w:szCs w:val="21"/>
              </w:rPr>
              <w:t>人</w:t>
            </w:r>
          </w:p>
        </w:tc>
      </w:tr>
      <w:tr>
        <w:tblPrEx>
          <w:tblCellMar>
            <w:top w:w="0" w:type="dxa"/>
            <w:left w:w="108" w:type="dxa"/>
            <w:bottom w:w="0" w:type="dxa"/>
            <w:right w:w="108" w:type="dxa"/>
          </w:tblCellMar>
        </w:tblPrEx>
        <w:trPr>
          <w:trHeight w:val="269"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663"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811"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58"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663"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S</w:t>
            </w:r>
            <w:r>
              <w:rPr>
                <w:sz w:val="21"/>
                <w:szCs w:val="21"/>
              </w:rPr>
              <w:t>XF5240TXFGF60/HW</w:t>
            </w:r>
            <w:r>
              <w:rPr>
                <w:rFonts w:hint="eastAsia"/>
                <w:sz w:val="21"/>
                <w:szCs w:val="21"/>
              </w:rPr>
              <w:t>型干粉消防车（干粉）</w:t>
            </w:r>
          </w:p>
        </w:tc>
        <w:tc>
          <w:tcPr>
            <w:tcW w:w="5811"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w:t>
            </w:r>
            <w:r>
              <w:rPr>
                <w:sz w:val="21"/>
                <w:szCs w:val="21"/>
              </w:rPr>
              <w:t>40</w:t>
            </w:r>
            <w:r>
              <w:rPr>
                <w:rFonts w:hint="eastAsia"/>
                <w:sz w:val="21"/>
                <w:szCs w:val="21"/>
              </w:rPr>
              <w:t>米</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海南华信石油基地有限公司</w:t>
            </w:r>
          </w:p>
        </w:tc>
      </w:tr>
      <w:tr>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郭等龙：131 3899 3877  0898-28837166</w:t>
            </w:r>
          </w:p>
        </w:tc>
        <w:tc>
          <w:tcPr>
            <w:tcW w:w="5528" w:type="dxa"/>
            <w:tcBorders>
              <w:top w:val="single" w:color="auto" w:sz="12" w:space="0"/>
              <w:left w:val="single" w:color="auto" w:sz="12" w:space="0"/>
              <w:bottom w:val="nil"/>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地址：海南省洋浦经济开发区石化功能区滨海大道85号</w:t>
            </w:r>
          </w:p>
        </w:tc>
      </w:tr>
      <w:tr>
        <w:trPr>
          <w:trHeight w:val="315"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海南华信专职消防队</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专职消防队员总数：21人</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JD</w:t>
            </w:r>
            <w:r>
              <w:rPr>
                <w:sz w:val="21"/>
                <w:szCs w:val="21"/>
              </w:rPr>
              <w:t>X5320GXFPM160/B</w:t>
            </w:r>
            <w:r>
              <w:rPr>
                <w:rFonts w:hint="eastAsia"/>
                <w:sz w:val="21"/>
                <w:szCs w:val="21"/>
              </w:rPr>
              <w:t>型泡沫消防车（水、泡沫）</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80</w:t>
            </w:r>
            <w:r>
              <w:rPr>
                <w:rFonts w:hint="eastAsia"/>
                <w:sz w:val="21"/>
                <w:szCs w:val="21"/>
              </w:rPr>
              <w:t>米、泡沫</w:t>
            </w:r>
            <w:r>
              <w:rPr>
                <w:sz w:val="21"/>
                <w:szCs w:val="21"/>
              </w:rPr>
              <w:t>70</w:t>
            </w:r>
            <w:r>
              <w:rPr>
                <w:rFonts w:hint="eastAsia"/>
                <w:sz w:val="21"/>
                <w:szCs w:val="21"/>
              </w:rPr>
              <w:t>米</w:t>
            </w:r>
          </w:p>
        </w:tc>
      </w:tr>
      <w:tr>
        <w:trPr>
          <w:trHeight w:val="315"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JD5320JXFJP43</w:t>
            </w:r>
            <w:r>
              <w:rPr>
                <w:rFonts w:hint="eastAsia"/>
                <w:sz w:val="21"/>
                <w:szCs w:val="21"/>
              </w:rPr>
              <w:t>型举高喷射消防车（水、泡沫）</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80</w:t>
            </w:r>
            <w:r>
              <w:rPr>
                <w:rFonts w:hint="eastAsia"/>
                <w:sz w:val="21"/>
                <w:szCs w:val="21"/>
              </w:rPr>
              <w:t>米、泡沫</w:t>
            </w:r>
            <w:r>
              <w:rPr>
                <w:sz w:val="21"/>
                <w:szCs w:val="21"/>
              </w:rPr>
              <w:t>70</w:t>
            </w:r>
            <w:r>
              <w:rPr>
                <w:rFonts w:hint="eastAsia"/>
                <w:sz w:val="21"/>
                <w:szCs w:val="21"/>
              </w:rPr>
              <w:t>米</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中石化（香港）海南石油有限公司</w:t>
            </w:r>
          </w:p>
        </w:tc>
      </w:tr>
      <w:tr>
        <w:tblPrEx>
          <w:tblCellMar>
            <w:top w:w="0" w:type="dxa"/>
            <w:left w:w="108" w:type="dxa"/>
            <w:bottom w:w="0" w:type="dxa"/>
            <w:right w:w="108" w:type="dxa"/>
          </w:tblCellMar>
        </w:tblPrEx>
        <w:trPr>
          <w:trHeight w:val="630"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吴刚：</w:t>
            </w:r>
            <w:r>
              <w:rPr>
                <w:sz w:val="21"/>
                <w:szCs w:val="21"/>
              </w:rPr>
              <w:t>0898-28812817  （值班电话：0898-28812896）</w:t>
            </w:r>
          </w:p>
        </w:tc>
        <w:tc>
          <w:tcPr>
            <w:tcW w:w="5528"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地址：洋浦经济开发区滨海大道西侧石化功能区中石化（香港）海南石油有限公司</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LLX5285GXFPM120/B型泡沫消防车</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最大流量7600L/min，射程可达90m</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LLX5285GXFPM120/B型泡沫消防车</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最大流量7600L/min，射程可达90m</w:t>
            </w:r>
          </w:p>
        </w:tc>
      </w:tr>
    </w:tbl>
    <w:p>
      <w:pPr>
        <w:ind w:firstLine="0" w:firstLineChars="0"/>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中国石化商储公司海南分公司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张强：</w:t>
            </w:r>
            <w:r>
              <w:rPr>
                <w:sz w:val="21"/>
                <w:szCs w:val="21"/>
              </w:rPr>
              <w:t>0898-36998997  （消防值班：0898-36998919）</w:t>
            </w:r>
          </w:p>
        </w:tc>
        <w:tc>
          <w:tcPr>
            <w:tcW w:w="5528" w:type="dxa"/>
            <w:tcBorders>
              <w:top w:val="single" w:color="auto" w:sz="12" w:space="0"/>
              <w:left w:val="single" w:color="auto" w:sz="12" w:space="0"/>
              <w:bottom w:val="nil"/>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地址：洋浦经济开发区滨海大道西侧石化功能区中国石化商储公司海南分公司厂区</w:t>
            </w:r>
          </w:p>
        </w:tc>
      </w:tr>
      <w:tr>
        <w:tblPrEx>
          <w:tblCellMar>
            <w:top w:w="0" w:type="dxa"/>
            <w:left w:w="108" w:type="dxa"/>
            <w:bottom w:w="0" w:type="dxa"/>
            <w:right w:w="108" w:type="dxa"/>
          </w:tblCellMar>
        </w:tblPrEx>
        <w:trPr>
          <w:trHeight w:val="315"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商储专职消防队</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专职消防队员总数：20人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421"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MX5381GXPPM180（水、泡沐）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120米</w:t>
            </w:r>
          </w:p>
        </w:tc>
      </w:tr>
      <w:tr>
        <w:tblPrEx>
          <w:tblCellMar>
            <w:top w:w="0" w:type="dxa"/>
            <w:left w:w="108" w:type="dxa"/>
            <w:bottom w:w="0" w:type="dxa"/>
            <w:right w:w="108" w:type="dxa"/>
          </w:tblCellMar>
        </w:tblPrEx>
        <w:trPr>
          <w:trHeight w:val="77"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SXT5320JXFJP42（水、泡沐）</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水≥85米     泡沫≥75米</w:t>
            </w:r>
          </w:p>
        </w:tc>
      </w:tr>
    </w:tbl>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国投</w:t>
            </w:r>
            <w:r>
              <w:rPr>
                <w:b/>
                <w:sz w:val="24"/>
                <w:szCs w:val="21"/>
              </w:rPr>
              <w:t>孚宝洋浦罐区码头有限公司</w:t>
            </w:r>
          </w:p>
        </w:tc>
      </w:tr>
      <w:tr>
        <w:tblPrEx>
          <w:tblCellMar>
            <w:top w:w="0" w:type="dxa"/>
            <w:left w:w="108" w:type="dxa"/>
            <w:bottom w:w="0" w:type="dxa"/>
            <w:right w:w="108" w:type="dxa"/>
          </w:tblCellMar>
        </w:tblPrEx>
        <w:trPr>
          <w:trHeight w:val="581"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顾惠</w:t>
            </w:r>
            <w:r>
              <w:rPr>
                <w:sz w:val="21"/>
                <w:szCs w:val="21"/>
              </w:rPr>
              <w:t>卷</w:t>
            </w:r>
            <w:r>
              <w:rPr>
                <w:rFonts w:hint="eastAsia"/>
                <w:sz w:val="21"/>
                <w:szCs w:val="21"/>
              </w:rPr>
              <w:t>：0898-</w:t>
            </w:r>
            <w:r>
              <w:rPr>
                <w:sz w:val="21"/>
                <w:szCs w:val="21"/>
              </w:rPr>
              <w:t>36982610</w:t>
            </w:r>
          </w:p>
        </w:tc>
        <w:tc>
          <w:tcPr>
            <w:tcW w:w="5528"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地址：洋浦经济开发区石化</w:t>
            </w:r>
            <w:r>
              <w:rPr>
                <w:sz w:val="21"/>
                <w:szCs w:val="21"/>
              </w:rPr>
              <w:t>功能区滨海大道园一路北侧</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RY5382GXFPM180/T</w:t>
            </w:r>
            <w:r>
              <w:rPr>
                <w:rFonts w:hint="eastAsia"/>
                <w:sz w:val="21"/>
                <w:szCs w:val="21"/>
              </w:rPr>
              <w:t>型泡沫消防车（水、泡沐）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水11</w:t>
            </w:r>
            <w:r>
              <w:rPr>
                <w:sz w:val="21"/>
                <w:szCs w:val="21"/>
              </w:rPr>
              <w:t>5m，泡沫</w:t>
            </w:r>
            <w:r>
              <w:rPr>
                <w:rFonts w:hint="eastAsia"/>
                <w:sz w:val="21"/>
                <w:szCs w:val="21"/>
              </w:rPr>
              <w:t>1</w:t>
            </w:r>
            <w:r>
              <w:rPr>
                <w:sz w:val="21"/>
                <w:szCs w:val="21"/>
              </w:rPr>
              <w:t>10</w:t>
            </w:r>
            <w:r>
              <w:rPr>
                <w:rFonts w:hint="eastAsia"/>
                <w:sz w:val="21"/>
                <w:szCs w:val="21"/>
              </w:rPr>
              <w:t>米</w:t>
            </w:r>
          </w:p>
        </w:tc>
      </w:tr>
      <w:tr>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SXT5303JXFLP32</w:t>
            </w:r>
            <w:r>
              <w:rPr>
                <w:rFonts w:hint="eastAsia"/>
                <w:sz w:val="21"/>
                <w:szCs w:val="21"/>
              </w:rPr>
              <w:t>型举高喷射消防车（水</w:t>
            </w:r>
            <w:r>
              <w:rPr>
                <w:sz w:val="21"/>
                <w:szCs w:val="21"/>
              </w:rPr>
              <w:t>、泡沫</w:t>
            </w:r>
            <w:r>
              <w:rPr>
                <w:rFonts w:hint="eastAsia"/>
                <w:sz w:val="21"/>
                <w:szCs w:val="21"/>
              </w:rPr>
              <w:t>）</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水70</w:t>
            </w:r>
            <w:r>
              <w:rPr>
                <w:sz w:val="21"/>
                <w:szCs w:val="21"/>
              </w:rPr>
              <w:t>m，泡沫</w:t>
            </w:r>
            <w:r>
              <w:rPr>
                <w:rFonts w:hint="eastAsia"/>
                <w:sz w:val="21"/>
                <w:szCs w:val="21"/>
              </w:rPr>
              <w:t>60米</w:t>
            </w:r>
          </w:p>
        </w:tc>
      </w:tr>
    </w:tbl>
    <w:p/>
    <w:p/>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4"/>
                <w:szCs w:val="21"/>
              </w:rPr>
            </w:pPr>
            <w:r>
              <w:rPr>
                <w:rFonts w:hint="eastAsia"/>
                <w:b/>
                <w:sz w:val="24"/>
                <w:szCs w:val="21"/>
              </w:rPr>
              <w:t>海南金海浆纸业有限公司</w:t>
            </w:r>
          </w:p>
        </w:tc>
      </w:tr>
      <w:tr>
        <w:tblPrEx>
          <w:tblCellMar>
            <w:top w:w="0" w:type="dxa"/>
            <w:left w:w="108" w:type="dxa"/>
            <w:bottom w:w="0" w:type="dxa"/>
            <w:right w:w="108" w:type="dxa"/>
          </w:tblCellMar>
        </w:tblPrEx>
        <w:trPr>
          <w:trHeight w:val="403"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杨长建：0898-28828873</w:t>
            </w:r>
          </w:p>
        </w:tc>
        <w:tc>
          <w:tcPr>
            <w:tcW w:w="5528"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地址：海南省洋浦经济开发区D12区</w:t>
            </w:r>
          </w:p>
        </w:tc>
      </w:tr>
      <w:tr>
        <w:tblPrEx>
          <w:tblCellMar>
            <w:top w:w="0" w:type="dxa"/>
            <w:left w:w="108" w:type="dxa"/>
            <w:bottom w:w="0" w:type="dxa"/>
            <w:right w:w="108" w:type="dxa"/>
          </w:tblCellMar>
        </w:tblPrEx>
        <w:trPr>
          <w:trHeight w:val="486"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金海专职消防队</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BX5280GXFPM140 斯太尔泡沫车</w:t>
            </w:r>
          </w:p>
        </w:tc>
        <w:tc>
          <w:tcPr>
            <w:tcW w:w="5528"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55米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TGS 33.360  MAN水罐车</w:t>
            </w:r>
          </w:p>
        </w:tc>
        <w:tc>
          <w:tcPr>
            <w:tcW w:w="5528"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80米</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single" w:color="auto" w:sz="4" w:space="0"/>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TGS33.440   MAN水罐车</w:t>
            </w:r>
          </w:p>
        </w:tc>
        <w:tc>
          <w:tcPr>
            <w:tcW w:w="5528" w:type="dxa"/>
            <w:tcBorders>
              <w:top w:val="single" w:color="auto" w:sz="4" w:space="0"/>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80米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BX5280GXFPM140  斯太尔水罐车</w:t>
            </w:r>
          </w:p>
        </w:tc>
        <w:tc>
          <w:tcPr>
            <w:tcW w:w="5528"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55米</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nil"/>
              <w:left w:val="nil"/>
              <w:bottom w:val="single" w:color="auto" w:sz="18" w:space="0"/>
              <w:right w:val="single" w:color="auto" w:sz="4" w:space="0"/>
            </w:tcBorders>
          </w:tcPr>
          <w:p>
            <w:pPr>
              <w:spacing w:line="240" w:lineRule="auto"/>
              <w:ind w:firstLine="0" w:firstLineChars="0"/>
              <w:rPr>
                <w:sz w:val="21"/>
                <w:szCs w:val="21"/>
              </w:rPr>
            </w:pPr>
            <w:r>
              <w:rPr>
                <w:rFonts w:hint="eastAsia"/>
                <w:sz w:val="21"/>
                <w:szCs w:val="21"/>
              </w:rPr>
              <w:t>EQ1092FJ 东风干粉车</w:t>
            </w:r>
          </w:p>
        </w:tc>
        <w:tc>
          <w:tcPr>
            <w:tcW w:w="5528" w:type="dxa"/>
            <w:tcBorders>
              <w:top w:val="nil"/>
              <w:left w:val="nil"/>
              <w:bottom w:val="single" w:color="auto" w:sz="18" w:space="0"/>
              <w:right w:val="single" w:color="auto" w:sz="18" w:space="0"/>
            </w:tcBorders>
          </w:tcPr>
          <w:p>
            <w:pPr>
              <w:spacing w:line="240" w:lineRule="auto"/>
              <w:ind w:firstLine="0" w:firstLineChars="0"/>
              <w:rPr>
                <w:sz w:val="21"/>
                <w:szCs w:val="21"/>
              </w:rPr>
            </w:pPr>
            <w:r>
              <w:rPr>
                <w:rFonts w:hint="eastAsia"/>
                <w:sz w:val="21"/>
                <w:szCs w:val="21"/>
              </w:rPr>
              <w:t>35米</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rPr>
          <w:trHeight w:val="315" w:hRule="atLeast"/>
        </w:trPr>
        <w:tc>
          <w:tcPr>
            <w:tcW w:w="13598"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海洋石油富岛有限公司</w:t>
            </w:r>
          </w:p>
        </w:tc>
      </w:tr>
      <w:tr>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姚烨：0898-25691366</w:t>
            </w:r>
          </w:p>
        </w:tc>
        <w:tc>
          <w:tcPr>
            <w:tcW w:w="5528" w:type="dxa"/>
            <w:tcBorders>
              <w:top w:val="single" w:color="auto" w:sz="12" w:space="0"/>
              <w:left w:val="single" w:color="auto" w:sz="12" w:space="0"/>
              <w:bottom w:val="single" w:color="auto" w:sz="12" w:space="0"/>
              <w:right w:val="single" w:color="auto" w:sz="18" w:space="0"/>
            </w:tcBorders>
            <w:vAlign w:val="center"/>
          </w:tcPr>
          <w:p>
            <w:pPr>
              <w:spacing w:line="240" w:lineRule="auto"/>
              <w:ind w:firstLine="0" w:firstLineChars="0"/>
              <w:rPr>
                <w:sz w:val="21"/>
                <w:szCs w:val="21"/>
              </w:rPr>
            </w:pPr>
            <w:r>
              <w:rPr>
                <w:rFonts w:hint="eastAsia"/>
                <w:sz w:val="21"/>
                <w:szCs w:val="21"/>
              </w:rPr>
              <w:t>地址：海南省东方市珠江大街1号</w:t>
            </w:r>
          </w:p>
        </w:tc>
      </w:tr>
      <w:tr>
        <w:trPr>
          <w:trHeight w:val="315" w:hRule="atLeast"/>
        </w:trPr>
        <w:tc>
          <w:tcPr>
            <w:tcW w:w="13598"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海洋石油富岛有限公司专职消防队</w:t>
            </w:r>
          </w:p>
        </w:tc>
      </w:tr>
      <w:tr>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专职消防队员总数：42人</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40米云梯消防车SXT5322JXFYT40（水、泡沐）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水：70/75m     泡沫：50/60m</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水罐泡沫消防车ZZ1192L4610（水、泡沐）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水：70/75m     泡沫：50/60m</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水罐、泡沫干粉联用消防车BX5190GXFPM85（水、泡沐、干粉）</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水：65m        泡沫：60m      干粉：30m</w:t>
            </w:r>
          </w:p>
        </w:tc>
      </w:tr>
      <w:tr>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30米举高喷消防车ND1250M302N（水、泡沐）</w:t>
            </w:r>
          </w:p>
        </w:tc>
        <w:tc>
          <w:tcPr>
            <w:tcW w:w="5528"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水：70m        泡沫：50/60m</w:t>
            </w:r>
          </w:p>
        </w:tc>
      </w:tr>
      <w:tr>
        <w:trPr>
          <w:trHeight w:val="330"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大功率水罐泡沫消防车SJD5372GXFPM180/MEA（水、泡沐）</w:t>
            </w:r>
          </w:p>
        </w:tc>
        <w:tc>
          <w:tcPr>
            <w:tcW w:w="5528"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水：120m       泡沫：110m</w:t>
            </w:r>
          </w:p>
        </w:tc>
      </w:tr>
      <w:tr>
        <w:trPr>
          <w:trHeight w:val="330" w:hRule="atLeast"/>
        </w:trPr>
        <w:tc>
          <w:tcPr>
            <w:tcW w:w="1124" w:type="dxa"/>
            <w:tcBorders>
              <w:top w:val="single" w:color="auto" w:sz="4" w:space="0"/>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6946" w:type="dxa"/>
            <w:tcBorders>
              <w:top w:val="single" w:color="auto" w:sz="4" w:space="0"/>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62米</w:t>
            </w:r>
            <w:r>
              <w:rPr>
                <w:sz w:val="21"/>
                <w:szCs w:val="21"/>
              </w:rPr>
              <w:t>举高</w:t>
            </w:r>
            <w:r>
              <w:rPr>
                <w:rFonts w:hint="eastAsia"/>
                <w:sz w:val="21"/>
                <w:szCs w:val="21"/>
              </w:rPr>
              <w:t>喷消防</w:t>
            </w:r>
            <w:r>
              <w:rPr>
                <w:sz w:val="21"/>
                <w:szCs w:val="21"/>
              </w:rPr>
              <w:t>车</w:t>
            </w:r>
            <w:r>
              <w:rPr>
                <w:rFonts w:hint="eastAsia"/>
                <w:sz w:val="21"/>
                <w:szCs w:val="21"/>
              </w:rPr>
              <w:t xml:space="preserve"> </w:t>
            </w:r>
            <w:r>
              <w:rPr>
                <w:sz w:val="21"/>
                <w:szCs w:val="21"/>
              </w:rPr>
              <w:t xml:space="preserve">FM540 84R B </w:t>
            </w:r>
            <w:r>
              <w:rPr>
                <w:rFonts w:hint="eastAsia"/>
                <w:sz w:val="21"/>
                <w:szCs w:val="21"/>
              </w:rPr>
              <w:t>（</w:t>
            </w:r>
            <w:r>
              <w:rPr>
                <w:sz w:val="21"/>
                <w:szCs w:val="21"/>
              </w:rPr>
              <w:t>水、泡沫）</w:t>
            </w:r>
          </w:p>
        </w:tc>
        <w:tc>
          <w:tcPr>
            <w:tcW w:w="5528" w:type="dxa"/>
            <w:tcBorders>
              <w:top w:val="single" w:color="auto" w:sz="4" w:space="0"/>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65m</w:t>
            </w:r>
            <w:r>
              <w:rPr>
                <w:sz w:val="21"/>
                <w:szCs w:val="21"/>
              </w:rPr>
              <w:t xml:space="preserve">     </w:t>
            </w:r>
            <w:r>
              <w:rPr>
                <w:rFonts w:hint="eastAsia"/>
                <w:sz w:val="21"/>
                <w:szCs w:val="21"/>
              </w:rPr>
              <w:t>泡沫</w:t>
            </w:r>
            <w:r>
              <w:rPr>
                <w:sz w:val="21"/>
                <w:szCs w:val="21"/>
              </w:rPr>
              <w:t>：</w:t>
            </w:r>
            <w:r>
              <w:rPr>
                <w:rFonts w:hint="eastAsia"/>
                <w:sz w:val="21"/>
                <w:szCs w:val="21"/>
              </w:rPr>
              <w:t>60</w:t>
            </w:r>
            <w:r>
              <w:rPr>
                <w:sz w:val="21"/>
                <w:szCs w:val="21"/>
              </w:rPr>
              <w:t>m</w:t>
            </w:r>
          </w:p>
        </w:tc>
      </w:tr>
    </w:tbl>
    <w:p>
      <w:pPr>
        <w:ind w:firstLine="198" w:firstLineChars="62"/>
      </w:pPr>
    </w:p>
    <w:tbl>
      <w:tblPr>
        <w:tblStyle w:val="31"/>
        <w:tblW w:w="0" w:type="auto"/>
        <w:tblInd w:w="118" w:type="dxa"/>
        <w:tblLayout w:type="fixed"/>
        <w:tblCellMar>
          <w:top w:w="0" w:type="dxa"/>
          <w:left w:w="108" w:type="dxa"/>
          <w:bottom w:w="0" w:type="dxa"/>
          <w:right w:w="108" w:type="dxa"/>
        </w:tblCellMar>
      </w:tblPr>
      <w:tblGrid>
        <w:gridCol w:w="1124"/>
        <w:gridCol w:w="6946"/>
        <w:gridCol w:w="5528"/>
      </w:tblGrid>
      <w:tr>
        <w:tblPrEx>
          <w:tblCellMar>
            <w:top w:w="0" w:type="dxa"/>
            <w:left w:w="108" w:type="dxa"/>
            <w:bottom w:w="0" w:type="dxa"/>
            <w:right w:w="108" w:type="dxa"/>
          </w:tblCellMar>
        </w:tblPrEx>
        <w:trPr>
          <w:trHeight w:val="315" w:hRule="atLeast"/>
        </w:trPr>
        <w:tc>
          <w:tcPr>
            <w:tcW w:w="13598" w:type="dxa"/>
            <w:gridSpan w:val="3"/>
            <w:tcBorders>
              <w:top w:val="single" w:color="auto" w:sz="18" w:space="0"/>
              <w:left w:val="single" w:color="auto" w:sz="18" w:space="0"/>
              <w:bottom w:val="single" w:color="auto" w:sz="4"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中海油东方石化有限责任公司</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sz w:val="21"/>
                <w:szCs w:val="21"/>
              </w:rPr>
              <w:t>吴丹雄</w:t>
            </w:r>
            <w:r>
              <w:rPr>
                <w:rFonts w:hint="eastAsia"/>
                <w:sz w:val="21"/>
                <w:szCs w:val="21"/>
              </w:rPr>
              <w:t>：0898-2558</w:t>
            </w:r>
            <w:r>
              <w:rPr>
                <w:sz w:val="21"/>
                <w:szCs w:val="21"/>
              </w:rPr>
              <w:t>8895</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地址：海南省东方市疏港大道1号</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中海油东方石化消防队</w:t>
            </w:r>
          </w:p>
        </w:tc>
      </w:tr>
      <w:tr>
        <w:tblPrEx>
          <w:tblCellMar>
            <w:top w:w="0" w:type="dxa"/>
            <w:left w:w="108" w:type="dxa"/>
            <w:bottom w:w="0" w:type="dxa"/>
            <w:right w:w="108" w:type="dxa"/>
          </w:tblCellMar>
        </w:tblPrEx>
        <w:trPr>
          <w:trHeight w:val="315" w:hRule="atLeast"/>
        </w:trPr>
        <w:tc>
          <w:tcPr>
            <w:tcW w:w="13598"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专职消防队员总数：4</w:t>
            </w:r>
            <w:r>
              <w:rPr>
                <w:sz w:val="21"/>
                <w:szCs w:val="21"/>
              </w:rPr>
              <w:t>5</w:t>
            </w:r>
            <w:r>
              <w:rPr>
                <w:rFonts w:hint="eastAsia"/>
                <w:sz w:val="21"/>
                <w:szCs w:val="21"/>
              </w:rPr>
              <w:t>人</w:t>
            </w:r>
          </w:p>
        </w:tc>
      </w:tr>
      <w:tr>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泡沫车</w:t>
            </w:r>
            <w:r>
              <w:rPr>
                <w:sz w:val="21"/>
                <w:szCs w:val="21"/>
              </w:rPr>
              <w:t>SZX5190GXF PM80</w:t>
            </w:r>
            <w:r>
              <w:rPr>
                <w:rFonts w:hint="eastAsia"/>
                <w:sz w:val="21"/>
                <w:szCs w:val="21"/>
              </w:rPr>
              <w:t>（水、泡沐）</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100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高喷车</w:t>
            </w:r>
            <w:r>
              <w:rPr>
                <w:sz w:val="21"/>
                <w:szCs w:val="21"/>
              </w:rPr>
              <w:t>HXF5090G XFG35</w:t>
            </w:r>
            <w:r>
              <w:rPr>
                <w:rFonts w:hint="eastAsia"/>
                <w:sz w:val="21"/>
                <w:szCs w:val="21"/>
              </w:rPr>
              <w:t>（水、泡沐）</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云梯车</w:t>
            </w:r>
            <w:r>
              <w:rPr>
                <w:sz w:val="21"/>
                <w:szCs w:val="21"/>
              </w:rPr>
              <w:t>EQ1092F</w:t>
            </w:r>
            <w:r>
              <w:rPr>
                <w:rFonts w:hint="eastAsia"/>
                <w:sz w:val="21"/>
                <w:szCs w:val="21"/>
              </w:rPr>
              <w:t>（水、泡沐）</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75</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联用车</w:t>
            </w:r>
            <w:r>
              <w:rPr>
                <w:sz w:val="21"/>
                <w:szCs w:val="21"/>
              </w:rPr>
              <w:t>ND1250M3 02N--*20050031*</w:t>
            </w:r>
            <w:r>
              <w:rPr>
                <w:rFonts w:hint="eastAsia"/>
                <w:sz w:val="21"/>
                <w:szCs w:val="21"/>
              </w:rPr>
              <w:t>（水、泡沐、干粉）</w:t>
            </w:r>
          </w:p>
        </w:tc>
        <w:tc>
          <w:tcPr>
            <w:tcW w:w="5528"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75</w:t>
            </w:r>
          </w:p>
        </w:tc>
      </w:tr>
      <w:tr>
        <w:trPr>
          <w:trHeight w:val="330" w:hRule="atLeast"/>
        </w:trPr>
        <w:tc>
          <w:tcPr>
            <w:tcW w:w="1124" w:type="dxa"/>
            <w:tcBorders>
              <w:top w:val="single" w:color="auto" w:sz="4" w:space="0"/>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single" w:color="auto" w:sz="4" w:space="0"/>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应急车</w:t>
            </w:r>
            <w:r>
              <w:rPr>
                <w:sz w:val="21"/>
                <w:szCs w:val="21"/>
              </w:rPr>
              <w:t>BX5190GX FPM85</w:t>
            </w:r>
          </w:p>
        </w:tc>
        <w:tc>
          <w:tcPr>
            <w:tcW w:w="5528" w:type="dxa"/>
            <w:tcBorders>
              <w:top w:val="single" w:color="auto" w:sz="4" w:space="0"/>
              <w:left w:val="single" w:color="auto" w:sz="4" w:space="0"/>
              <w:bottom w:val="single" w:color="auto" w:sz="18" w:space="0"/>
              <w:right w:val="single" w:color="auto" w:sz="18" w:space="0"/>
            </w:tcBorders>
            <w:vAlign w:val="center"/>
          </w:tcPr>
          <w:p>
            <w:pPr>
              <w:spacing w:line="240" w:lineRule="auto"/>
              <w:ind w:firstLine="0" w:firstLineChars="0"/>
              <w:rPr>
                <w:sz w:val="21"/>
                <w:szCs w:val="21"/>
              </w:rPr>
            </w:pPr>
          </w:p>
        </w:tc>
      </w:tr>
    </w:tbl>
    <w:p>
      <w:pPr>
        <w:sectPr>
          <w:pgSz w:w="16838" w:h="11906" w:orient="landscape"/>
          <w:pgMar w:top="1701" w:right="1474" w:bottom="1134" w:left="1588" w:header="851" w:footer="992" w:gutter="0"/>
          <w:pgNumType w:fmt="numberInDash"/>
          <w:cols w:space="425" w:num="1"/>
          <w:docGrid w:type="linesAndChars" w:linePitch="332" w:charSpace="0"/>
        </w:sectPr>
      </w:pPr>
    </w:p>
    <w:p>
      <w:pPr>
        <w:pStyle w:val="3"/>
      </w:pPr>
      <w:bookmarkStart w:id="56" w:name="_Toc89418942"/>
      <w:r>
        <w:rPr>
          <w:rFonts w:hint="eastAsia"/>
        </w:rPr>
        <w:t>9.</w:t>
      </w:r>
      <w:r>
        <w:t xml:space="preserve">5 </w:t>
      </w:r>
      <w:r>
        <w:rPr>
          <w:rFonts w:hint="eastAsia"/>
        </w:rPr>
        <w:t>烟花爆竹事故现场处置要点</w:t>
      </w:r>
      <w:bookmarkEnd w:id="56"/>
    </w:p>
    <w:p>
      <w:pPr>
        <w:pStyle w:val="4"/>
      </w:pPr>
      <w:bookmarkStart w:id="57" w:name="_Toc89418943"/>
      <w:r>
        <w:rPr>
          <w:rFonts w:hint="eastAsia"/>
        </w:rPr>
        <w:t>9.</w:t>
      </w:r>
      <w:r>
        <w:t>5</w:t>
      </w:r>
      <w:r>
        <w:rPr>
          <w:rFonts w:hint="eastAsia"/>
        </w:rPr>
        <w:t>.1</w:t>
      </w:r>
      <w:r>
        <w:t xml:space="preserve"> 火灾事故处置要点</w:t>
      </w:r>
      <w:bookmarkEnd w:id="57"/>
    </w:p>
    <w:p>
      <w:r>
        <w:rPr>
          <w:rFonts w:hint="eastAsia"/>
        </w:rPr>
        <w:t>（</w:t>
      </w:r>
      <w:r>
        <w:t>1）迅速组织撤出灾区和受威胁区域的人员；</w:t>
      </w:r>
    </w:p>
    <w:p>
      <w:r>
        <w:rPr>
          <w:rFonts w:hint="eastAsia"/>
        </w:rPr>
        <w:t>（</w:t>
      </w:r>
      <w:r>
        <w:t>2）探明火区地点、范围和尽可能找到起火原因；</w:t>
      </w:r>
    </w:p>
    <w:p>
      <w:r>
        <w:rPr>
          <w:rFonts w:hint="eastAsia"/>
        </w:rPr>
        <w:t>（</w:t>
      </w:r>
      <w:r>
        <w:t>3）迅速切断火区电源；</w:t>
      </w:r>
    </w:p>
    <w:p>
      <w:r>
        <w:rPr>
          <w:rFonts w:hint="eastAsia"/>
        </w:rPr>
        <w:t>（</w:t>
      </w:r>
      <w:r>
        <w:t>4）设置警示线，封锁危险区域；</w:t>
      </w:r>
    </w:p>
    <w:p>
      <w:r>
        <w:rPr>
          <w:rFonts w:hint="eastAsia"/>
        </w:rPr>
        <w:t>（</w:t>
      </w:r>
      <w:r>
        <w:t>5）采取措施防止火区和火灾中产生的各种有毒有害气体扩散蔓延；</w:t>
      </w:r>
    </w:p>
    <w:p>
      <w:r>
        <w:rPr>
          <w:rFonts w:hint="eastAsia"/>
        </w:rPr>
        <w:t>（</w:t>
      </w:r>
      <w:r>
        <w:t>6）确定重点防护目标（原料库、成品仓库等），防止出现爆炸事故；</w:t>
      </w:r>
    </w:p>
    <w:p>
      <w:r>
        <w:rPr>
          <w:rFonts w:hint="eastAsia"/>
        </w:rPr>
        <w:t>（</w:t>
      </w:r>
      <w:r>
        <w:t>7）明确所需的事故应急救援处置技术和专家；</w:t>
      </w:r>
    </w:p>
    <w:p>
      <w:r>
        <w:rPr>
          <w:rFonts w:hint="eastAsia"/>
        </w:rPr>
        <w:t>（</w:t>
      </w:r>
      <w:r>
        <w:t>8）明确可能需要调动的应急救援力量及物资保障；</w:t>
      </w:r>
    </w:p>
    <w:p>
      <w:r>
        <w:rPr>
          <w:rFonts w:hint="eastAsia"/>
        </w:rPr>
        <w:t>（</w:t>
      </w:r>
      <w:r>
        <w:t>9）确定灭火方案；</w:t>
      </w:r>
    </w:p>
    <w:p>
      <w:r>
        <w:rPr>
          <w:rFonts w:hint="eastAsia"/>
        </w:rPr>
        <w:t>（</w:t>
      </w:r>
      <w:r>
        <w:t>10）在整个抢救和处理过程中，必须有专人严密监测二氧化硫、一氧化碳和氮氧化物等有害气体的浓度及风向的变化，防止风流逆转，出现中毒窒息事故。</w:t>
      </w:r>
    </w:p>
    <w:p>
      <w:pPr>
        <w:pStyle w:val="4"/>
      </w:pPr>
      <w:bookmarkStart w:id="58" w:name="_Toc89418944"/>
      <w:r>
        <w:rPr>
          <w:rFonts w:hint="eastAsia"/>
        </w:rPr>
        <w:t>9.</w:t>
      </w:r>
      <w:r>
        <w:t>5</w:t>
      </w:r>
      <w:r>
        <w:rPr>
          <w:rFonts w:hint="eastAsia"/>
        </w:rPr>
        <w:t>.2</w:t>
      </w:r>
      <w:r>
        <w:t xml:space="preserve"> 爆炸事故处置要点</w:t>
      </w:r>
      <w:bookmarkEnd w:id="58"/>
    </w:p>
    <w:p>
      <w:r>
        <w:rPr>
          <w:rFonts w:hint="eastAsia"/>
        </w:rPr>
        <w:t>（</w:t>
      </w:r>
      <w:r>
        <w:t>1）迅速组织撤出灾区和受威胁区域的人员；</w:t>
      </w:r>
    </w:p>
    <w:p>
      <w:r>
        <w:rPr>
          <w:rFonts w:hint="eastAsia"/>
        </w:rPr>
        <w:t>（</w:t>
      </w:r>
      <w:r>
        <w:t>2）确定爆炸事故发生的地点和范围；</w:t>
      </w:r>
    </w:p>
    <w:p>
      <w:r>
        <w:rPr>
          <w:rFonts w:hint="eastAsia"/>
        </w:rPr>
        <w:t>（</w:t>
      </w:r>
      <w:r>
        <w:t>3）迅速切断灾区电源；</w:t>
      </w:r>
    </w:p>
    <w:p>
      <w:r>
        <w:rPr>
          <w:rFonts w:hint="eastAsia"/>
        </w:rPr>
        <w:t>（</w:t>
      </w:r>
      <w:r>
        <w:t>4）设置警示线，封锁危险区域；</w:t>
      </w:r>
    </w:p>
    <w:p>
      <w:r>
        <w:rPr>
          <w:rFonts w:hint="eastAsia"/>
        </w:rPr>
        <w:t>（</w:t>
      </w:r>
      <w:r>
        <w:t>5）采取措施防止爆炸产生的各种有毒有害气体扩散；</w:t>
      </w:r>
    </w:p>
    <w:p>
      <w:r>
        <w:rPr>
          <w:rFonts w:hint="eastAsia"/>
        </w:rPr>
        <w:t>（</w:t>
      </w:r>
      <w:r>
        <w:t>6）确定重点防护目标（原料库、成品仓库等），防止出现二次爆炸事故；</w:t>
      </w:r>
    </w:p>
    <w:p>
      <w:r>
        <w:rPr>
          <w:rFonts w:hint="eastAsia"/>
        </w:rPr>
        <w:t>（</w:t>
      </w:r>
      <w:r>
        <w:t>7）明确所需的事故应急救援处置技术和专家；</w:t>
      </w:r>
    </w:p>
    <w:p>
      <w:r>
        <w:rPr>
          <w:rFonts w:hint="eastAsia"/>
        </w:rPr>
        <w:t>（</w:t>
      </w:r>
      <w:r>
        <w:t>8）明确可能需要调动的应急救援力量及物资保障；</w:t>
      </w:r>
    </w:p>
    <w:p>
      <w:r>
        <w:rPr>
          <w:rFonts w:hint="eastAsia"/>
        </w:rPr>
        <w:t>（</w:t>
      </w:r>
      <w:r>
        <w:t>9）在整个抢救和处理过程中，必须有专人严密监测二氧化硫、一氧化碳和氮氧化物等有害气体的浓度及风向的变化，防止风流逆转，出现中毒窒息事故。</w:t>
      </w:r>
    </w:p>
    <w:p>
      <w:pPr>
        <w:pStyle w:val="4"/>
      </w:pPr>
      <w:bookmarkStart w:id="59" w:name="_Toc89418945"/>
      <w:r>
        <w:rPr>
          <w:rFonts w:hint="eastAsia"/>
        </w:rPr>
        <w:t>9.</w:t>
      </w:r>
      <w:r>
        <w:t>5</w:t>
      </w:r>
      <w:r>
        <w:rPr>
          <w:rFonts w:hint="eastAsia"/>
        </w:rPr>
        <w:t>.3</w:t>
      </w:r>
      <w:r>
        <w:t xml:space="preserve"> 运输事故处置要点</w:t>
      </w:r>
      <w:bookmarkEnd w:id="59"/>
    </w:p>
    <w:p>
      <w:r>
        <w:rPr>
          <w:rFonts w:hint="eastAsia"/>
        </w:rPr>
        <w:t>烟花爆竹在运输过程中发生燃烧、爆炸等事故现场应急处置要点：</w:t>
      </w:r>
    </w:p>
    <w:p>
      <w:r>
        <w:rPr>
          <w:rFonts w:hint="eastAsia"/>
        </w:rPr>
        <w:t>（</w:t>
      </w:r>
      <w:r>
        <w:t>1）发现险情后，驾驶员和押运人员应迅速下车，</w:t>
      </w:r>
      <w:r>
        <w:rPr>
          <w:rFonts w:hint="eastAsia"/>
        </w:rPr>
        <w:t>立即联系当地消防救援队伍，</w:t>
      </w:r>
      <w:r>
        <w:t>并积极采取自我保护措施，在确保人身安全的情况下，</w:t>
      </w:r>
      <w:r>
        <w:rPr>
          <w:rFonts w:hint="eastAsia"/>
          <w:szCs w:val="20"/>
        </w:rPr>
        <w:t>小规模燃烧（冒烟）的情况</w:t>
      </w:r>
      <w:r>
        <w:t>，用车内灭火器灭火，并将车开离闹市区；</w:t>
      </w:r>
    </w:p>
    <w:p>
      <w:pPr>
        <w:rPr>
          <w:rFonts w:hint="eastAsia" w:eastAsia="仿宋"/>
          <w:lang w:eastAsia="zh-CN"/>
        </w:rPr>
      </w:pPr>
      <w:r>
        <w:rPr>
          <w:rFonts w:hint="eastAsia"/>
        </w:rPr>
        <w:t>（</w:t>
      </w:r>
      <w:r>
        <w:t>2）车辆发生燃烧、爆炸，应迅速组织力量及时疏散着火区域周围人员，使着火区周围形成一个不小于45m的隔离带。设置警示线，封锁危险区域</w:t>
      </w:r>
      <w:r>
        <w:rPr>
          <w:rFonts w:hint="eastAsia"/>
          <w:lang w:eastAsia="zh-CN"/>
        </w:rPr>
        <w:t>；</w:t>
      </w:r>
    </w:p>
    <w:p>
      <w:r>
        <w:rPr>
          <w:rFonts w:hint="eastAsia"/>
        </w:rPr>
        <w:t>（</w:t>
      </w:r>
      <w:r>
        <w:t>3）灭火人员应积极采取自我保护措施，尽量利用现场的地形、地物作为掩</w:t>
      </w:r>
      <w:r>
        <w:tab/>
      </w:r>
      <w:r>
        <w:t>蔽体，尽量采用低姿侧吊射水（禁止对火源中心喷水），消防车辆不要停靠在离爆炸物品太近的位置；</w:t>
      </w:r>
    </w:p>
    <w:p>
      <w:r>
        <w:rPr>
          <w:rFonts w:hint="eastAsia"/>
        </w:rPr>
        <w:t>（</w:t>
      </w:r>
      <w:r>
        <w:t>4）灭火人员发现有发生再次爆炸的危险时，应立即向现场指挥报告，现场指挥应迅速作出准确判断，确有发生再次爆炸征兆或危险时，应立即下达撤退命令。来不及撤退时，应就地卧倒；</w:t>
      </w:r>
    </w:p>
    <w:p>
      <w:r>
        <w:rPr>
          <w:rFonts w:hint="eastAsia"/>
        </w:rPr>
        <w:t>（</w:t>
      </w:r>
      <w:r>
        <w:t>5）所用的救援器材需具备防爆功能；</w:t>
      </w:r>
    </w:p>
    <w:p>
      <w:pPr>
        <w:spacing w:line="660" w:lineRule="exact"/>
        <w:ind w:firstLine="0" w:firstLineChars="0"/>
        <w:jc w:val="left"/>
        <w:rPr>
          <w:rFonts w:hint="eastAsia" w:eastAsia="仿宋"/>
          <w:lang w:val="en-US" w:eastAsia="zh-CN"/>
        </w:rPr>
      </w:pPr>
      <w:r>
        <w:rPr>
          <w:rFonts w:hint="eastAsia"/>
        </w:rPr>
        <w:t xml:space="preserve"> </w:t>
      </w:r>
      <w:r>
        <w:t xml:space="preserve">  </w:t>
      </w:r>
      <w:r>
        <w:tab/>
      </w:r>
      <w:r>
        <w:tab/>
      </w:r>
      <w:r>
        <w:tab/>
      </w:r>
      <w:r>
        <w:tab/>
      </w:r>
      <w:r>
        <w:tab/>
      </w:r>
      <w:r>
        <w:tab/>
      </w:r>
      <w:r>
        <w:tab/>
      </w:r>
      <w:r>
        <w:tab/>
      </w:r>
      <w:r>
        <w:tab/>
      </w:r>
      <w:r>
        <w:t xml:space="preserve"> </w:t>
      </w:r>
      <w:r>
        <w:rPr>
          <w:rFonts w:hint="eastAsia"/>
        </w:rPr>
        <w:t>（</w:t>
      </w:r>
      <w:r>
        <w:t>6）在整个抢救和处理过程中，必须有专人严密监测二氧化硫、一氧化碳和氮氧化物等有害气体的浓度及风向</w:t>
      </w:r>
      <w:r>
        <w:rPr>
          <w:rFonts w:hint="eastAsia"/>
        </w:rPr>
        <w:t>变</w:t>
      </w:r>
      <w:r>
        <w:t>化防止风流逆转，出现中毒</w:t>
      </w:r>
      <w:r>
        <w:rPr>
          <w:rFonts w:hint="eastAsia"/>
          <w:lang w:eastAsia="zh-CN"/>
        </w:rPr>
        <w:t>窒息事故。</w:t>
      </w:r>
    </w:p>
    <w:sectPr>
      <w:headerReference r:id="rId12" w:type="default"/>
      <w:footerReference r:id="rId13"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64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0"/>
      <w:ind w:left="64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640" w:firstLine="480"/>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ind w:left="640" w:firstLine="48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36 -</w:t>
                          </w:r>
                          <w:r>
                            <w:rPr>
                              <w:sz w:val="24"/>
                              <w:szCs w:val="24"/>
                            </w:rP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qLVz/TAQAApgMAAA4AAABkcnMvZTJvRG9jLnhtbK1TzY7TMBC+&#10;I/EOlu80aaRlo6jpClQtQkKAtPAArmM3lvwnj9ukLwBvwIkLd56rz8HYSbpoueyBizPjGX8z3zeT&#10;zd1oNDmJAMrZlq5XJSXCctcpe2jp1y/3r2pKIDLbMe2saOlZAL3bvnyxGXwjKtc73YlAEMRCM/iW&#10;9jH6piiA98IwWDkvLAalC4ZFdMOh6AIbEN3ooirL18XgQueD4wIAb3dTkM6I4TmATkrFxc7xoxE2&#10;TqhBaBaREvTKA93mbqUUPH6SEkQkuqXINOYTi6C9T2ex3bDmEJjvFZ9bYM9p4Qknw5TFoleoHYuM&#10;HIP6B8ooHhw4GVfcmWIikhVBFuvyiTYPPfMic0GpwV9Fh/8Hyz+ePgeiupZWlFhmcOCXH98vP39f&#10;fn0j67K6TQoNHhpMfPCYGse3bsS9We4BLxPxUQaTvkiJYBz1PV/1FWMkPD2qq7ouMcQxtjiIXzw+&#10;9wHiO+EMSUZLAw4w68pOHyBOqUtKqmbdvdI6D1FbMiDqTX17k19cQ4iuLRZJLKZukxXH/ThT27vu&#10;jMwG3IKWWlx6SvR7iyKnhVmMsBj7xTj6oA593qjUCvg3x4jt5C5ThQl2LozjyzznVUv78befsx5/&#10;r+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MqLVz/TAQAApgMAAA4AAAAAAAAAAQAgAAAA&#10;IgEAAGRycy9lMm9Eb2MueG1sUEsFBgAAAAAGAAYAWQEAAGcFAAAAAA==&#10;">
              <v:fill on="f" focussize="0,0"/>
              <v:stroke on="f" weight="1.25pt"/>
              <v:imagedata o:title=""/>
              <o:lock v:ext="edit" aspectratio="f"/>
              <v:textbox inset="0mm,0mm,0mm,0mm" style="mso-fit-shape-to-text:t;">
                <w:txbxContent>
                  <w:p>
                    <w:pPr>
                      <w:pStyle w:val="20"/>
                      <w:ind w:left="640" w:firstLine="480"/>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36 -</w:t>
                    </w:r>
                    <w:r>
                      <w:rPr>
                        <w:sz w:val="24"/>
                        <w:szCs w:val="24"/>
                      </w:rPr>
                      <w:fldChar w:fldCharType="end"/>
                    </w:r>
                  </w:p>
                </w:txbxContent>
              </v:textbox>
            </v:shape>
          </w:pict>
        </mc:Fallback>
      </mc:AlternateContent>
    </w:r>
  </w:p>
  <w:p>
    <w:pPr>
      <w:pStyle w:val="20"/>
      <w:ind w:left="64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240" w:lineRule="auto"/>
      <w:ind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40</w:t>
                          </w:r>
                          <w:r>
                            <w:rPr>
                              <w:sz w:val="24"/>
                              <w:szCs w:val="24"/>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6tsy/TAQAApg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lqsqKdR7qLHw3mNpHD66IVVPccBgIj7IYNIXKRHMo76ni75iiISnS9WqqkpMcczNDuIUj9d9&#10;gHgnnCHJaGjAB8y6suNniGPpXJK6WXertMY4q7UlPaJeV++v841LCtG1xSaJxThtsuKwGyYKO9ee&#10;kFmPW9BQi0tPif5kUeS0MLMRZmM3Gwcf1L7LG5X6g/9wiDhOnjJ1GGGnxvh8mee0amk/nvq56vH3&#10;2vw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aGmCS9MAAAAFAQAADwAAAAAAAAABACAAAAAiAAAA&#10;ZHJzL2Rvd25yZXYueG1sUEsBAhQAFAAAAAgAh07iQO6tsy/TAQAApgMAAA4AAAAAAAAAAQAgAAAA&#10;IgEAAGRycy9lMm9Eb2MueG1sUEsFBgAAAAAGAAYAWQEAAGcFAAAAAA==&#10;">
              <v:fill on="f" focussize="0,0"/>
              <v:stroke on="f" weight="1.25pt"/>
              <v:imagedata o:title=""/>
              <o:lock v:ext="edit" aspectratio="f"/>
              <v:textbox inset="0mm,0mm,0mm,0mm" style="mso-fit-shape-to-text:t;">
                <w:txbxContent>
                  <w:p>
                    <w:pPr>
                      <w:pStyle w:val="2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40</w:t>
                    </w:r>
                    <w:r>
                      <w:rPr>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0"/>
      </w:pBdr>
      <w:tabs>
        <w:tab w:val="left" w:pos="6135"/>
      </w:tabs>
      <w:ind w:firstLine="360"/>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rFonts w:eastAsia="宋体"/>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80"/>
      <w:jc w:val="right"/>
      <w:rPr>
        <w:rFonts w:ascii="宋体" w:hAnsi="宋体"/>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7715A"/>
    <w:multiLevelType w:val="multilevel"/>
    <w:tmpl w:val="23A7715A"/>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ED1763"/>
    <w:multiLevelType w:val="multilevel"/>
    <w:tmpl w:val="29ED1763"/>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F2558C"/>
    <w:multiLevelType w:val="multilevel"/>
    <w:tmpl w:val="47F2558C"/>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9259B9"/>
    <w:multiLevelType w:val="multilevel"/>
    <w:tmpl w:val="4B9259B9"/>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5C0A1C"/>
    <w:multiLevelType w:val="multilevel"/>
    <w:tmpl w:val="635C0A1C"/>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674A4757"/>
    <w:multiLevelType w:val="multilevel"/>
    <w:tmpl w:val="674A4757"/>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ED5308B"/>
    <w:multiLevelType w:val="multilevel"/>
    <w:tmpl w:val="6ED5308B"/>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2"/>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trackRevisions w:val="1"/>
  <w:documentProtection w:enforcement="0"/>
  <w:defaultTabStop w:val="0"/>
  <w:drawingGridHorizontalSpacing w:val="160"/>
  <w:drawingGridVerticalSpacing w:val="435"/>
  <w:displayHorizontalDrawingGridEvery w:val="0"/>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E7"/>
    <w:rsid w:val="00001196"/>
    <w:rsid w:val="000033DA"/>
    <w:rsid w:val="00004A62"/>
    <w:rsid w:val="0000559C"/>
    <w:rsid w:val="0001068E"/>
    <w:rsid w:val="00012C71"/>
    <w:rsid w:val="000152B2"/>
    <w:rsid w:val="00016F6A"/>
    <w:rsid w:val="000201A9"/>
    <w:rsid w:val="0002148D"/>
    <w:rsid w:val="000218A5"/>
    <w:rsid w:val="00025940"/>
    <w:rsid w:val="00026698"/>
    <w:rsid w:val="00030121"/>
    <w:rsid w:val="000304EE"/>
    <w:rsid w:val="00037F0E"/>
    <w:rsid w:val="00040D5A"/>
    <w:rsid w:val="000437D9"/>
    <w:rsid w:val="00045CD1"/>
    <w:rsid w:val="000468AC"/>
    <w:rsid w:val="00047DFB"/>
    <w:rsid w:val="00051551"/>
    <w:rsid w:val="00060242"/>
    <w:rsid w:val="000608C2"/>
    <w:rsid w:val="0006380F"/>
    <w:rsid w:val="000638F6"/>
    <w:rsid w:val="00064835"/>
    <w:rsid w:val="00066EF9"/>
    <w:rsid w:val="00067AA9"/>
    <w:rsid w:val="000704CA"/>
    <w:rsid w:val="000709DA"/>
    <w:rsid w:val="00082A8E"/>
    <w:rsid w:val="000831F9"/>
    <w:rsid w:val="0008789C"/>
    <w:rsid w:val="00095B9A"/>
    <w:rsid w:val="00096EDD"/>
    <w:rsid w:val="000978A9"/>
    <w:rsid w:val="000978F0"/>
    <w:rsid w:val="000A19F1"/>
    <w:rsid w:val="000A616D"/>
    <w:rsid w:val="000B077D"/>
    <w:rsid w:val="000C001B"/>
    <w:rsid w:val="000C1EFD"/>
    <w:rsid w:val="000C62A4"/>
    <w:rsid w:val="000D22CB"/>
    <w:rsid w:val="000D6B91"/>
    <w:rsid w:val="000D76E2"/>
    <w:rsid w:val="000E12FA"/>
    <w:rsid w:val="000E1984"/>
    <w:rsid w:val="000E5DE3"/>
    <w:rsid w:val="000F0323"/>
    <w:rsid w:val="000F5378"/>
    <w:rsid w:val="000F6AEC"/>
    <w:rsid w:val="000F7F8F"/>
    <w:rsid w:val="001021BB"/>
    <w:rsid w:val="00105572"/>
    <w:rsid w:val="00105629"/>
    <w:rsid w:val="00106837"/>
    <w:rsid w:val="001124B0"/>
    <w:rsid w:val="00116CE5"/>
    <w:rsid w:val="00116D1F"/>
    <w:rsid w:val="0011788A"/>
    <w:rsid w:val="001213DF"/>
    <w:rsid w:val="00125223"/>
    <w:rsid w:val="001259EA"/>
    <w:rsid w:val="00126DE7"/>
    <w:rsid w:val="00135FB5"/>
    <w:rsid w:val="001419E9"/>
    <w:rsid w:val="0014416D"/>
    <w:rsid w:val="00145104"/>
    <w:rsid w:val="00147309"/>
    <w:rsid w:val="0015008E"/>
    <w:rsid w:val="0015221B"/>
    <w:rsid w:val="00154626"/>
    <w:rsid w:val="0015606E"/>
    <w:rsid w:val="00160F2A"/>
    <w:rsid w:val="001632D5"/>
    <w:rsid w:val="00167545"/>
    <w:rsid w:val="0017087B"/>
    <w:rsid w:val="00170FEE"/>
    <w:rsid w:val="0017425A"/>
    <w:rsid w:val="001809E2"/>
    <w:rsid w:val="00184737"/>
    <w:rsid w:val="00185C08"/>
    <w:rsid w:val="00191BD0"/>
    <w:rsid w:val="00192240"/>
    <w:rsid w:val="00193FD8"/>
    <w:rsid w:val="00195F60"/>
    <w:rsid w:val="00196CE7"/>
    <w:rsid w:val="001A19A9"/>
    <w:rsid w:val="001A1E86"/>
    <w:rsid w:val="001A1ECF"/>
    <w:rsid w:val="001A388C"/>
    <w:rsid w:val="001A448C"/>
    <w:rsid w:val="001B2ABD"/>
    <w:rsid w:val="001B38A7"/>
    <w:rsid w:val="001B412E"/>
    <w:rsid w:val="001B4834"/>
    <w:rsid w:val="001C16C7"/>
    <w:rsid w:val="001C20EF"/>
    <w:rsid w:val="001C2538"/>
    <w:rsid w:val="001C5890"/>
    <w:rsid w:val="001C5CC5"/>
    <w:rsid w:val="001D0A70"/>
    <w:rsid w:val="001D1BD4"/>
    <w:rsid w:val="001D3393"/>
    <w:rsid w:val="001D3FA4"/>
    <w:rsid w:val="001D5484"/>
    <w:rsid w:val="001E6304"/>
    <w:rsid w:val="001E6781"/>
    <w:rsid w:val="001F2B84"/>
    <w:rsid w:val="00203943"/>
    <w:rsid w:val="0020555F"/>
    <w:rsid w:val="00205D42"/>
    <w:rsid w:val="00211BE7"/>
    <w:rsid w:val="00222519"/>
    <w:rsid w:val="00222B59"/>
    <w:rsid w:val="00224770"/>
    <w:rsid w:val="00226EB6"/>
    <w:rsid w:val="00227570"/>
    <w:rsid w:val="002276FC"/>
    <w:rsid w:val="00233389"/>
    <w:rsid w:val="002337A8"/>
    <w:rsid w:val="00233D25"/>
    <w:rsid w:val="0024192A"/>
    <w:rsid w:val="0024512B"/>
    <w:rsid w:val="002475D3"/>
    <w:rsid w:val="00251087"/>
    <w:rsid w:val="00251CB4"/>
    <w:rsid w:val="00253291"/>
    <w:rsid w:val="002545B2"/>
    <w:rsid w:val="00256B7F"/>
    <w:rsid w:val="00257DBB"/>
    <w:rsid w:val="00264680"/>
    <w:rsid w:val="002674C2"/>
    <w:rsid w:val="00272EA7"/>
    <w:rsid w:val="00274484"/>
    <w:rsid w:val="00276F5E"/>
    <w:rsid w:val="00283513"/>
    <w:rsid w:val="0028423D"/>
    <w:rsid w:val="002850DE"/>
    <w:rsid w:val="002906F0"/>
    <w:rsid w:val="00291428"/>
    <w:rsid w:val="00293F23"/>
    <w:rsid w:val="00294C8E"/>
    <w:rsid w:val="002A22AE"/>
    <w:rsid w:val="002A49F2"/>
    <w:rsid w:val="002A782B"/>
    <w:rsid w:val="002B5F3C"/>
    <w:rsid w:val="002E455F"/>
    <w:rsid w:val="002E6EDB"/>
    <w:rsid w:val="002F1C14"/>
    <w:rsid w:val="002F3514"/>
    <w:rsid w:val="002F441C"/>
    <w:rsid w:val="002F7FA6"/>
    <w:rsid w:val="0030057E"/>
    <w:rsid w:val="003009D4"/>
    <w:rsid w:val="00303989"/>
    <w:rsid w:val="0030481D"/>
    <w:rsid w:val="00304885"/>
    <w:rsid w:val="003057FD"/>
    <w:rsid w:val="00307B06"/>
    <w:rsid w:val="00307E70"/>
    <w:rsid w:val="00310ADA"/>
    <w:rsid w:val="0031186B"/>
    <w:rsid w:val="00314B19"/>
    <w:rsid w:val="0031535D"/>
    <w:rsid w:val="00315B76"/>
    <w:rsid w:val="00316BF9"/>
    <w:rsid w:val="00320F2E"/>
    <w:rsid w:val="00321827"/>
    <w:rsid w:val="00321ED3"/>
    <w:rsid w:val="00323D59"/>
    <w:rsid w:val="003265A9"/>
    <w:rsid w:val="00330DE3"/>
    <w:rsid w:val="00331673"/>
    <w:rsid w:val="0033502F"/>
    <w:rsid w:val="00336A35"/>
    <w:rsid w:val="00336E3A"/>
    <w:rsid w:val="00337708"/>
    <w:rsid w:val="00342DCF"/>
    <w:rsid w:val="00345FBC"/>
    <w:rsid w:val="00347335"/>
    <w:rsid w:val="00351F10"/>
    <w:rsid w:val="00352753"/>
    <w:rsid w:val="0035500C"/>
    <w:rsid w:val="0035683F"/>
    <w:rsid w:val="003643F6"/>
    <w:rsid w:val="003669A7"/>
    <w:rsid w:val="00373B24"/>
    <w:rsid w:val="00377F1B"/>
    <w:rsid w:val="00380617"/>
    <w:rsid w:val="00391ECE"/>
    <w:rsid w:val="00397343"/>
    <w:rsid w:val="003A37F0"/>
    <w:rsid w:val="003A4D80"/>
    <w:rsid w:val="003A70D9"/>
    <w:rsid w:val="003A71AC"/>
    <w:rsid w:val="003A7946"/>
    <w:rsid w:val="003B0B43"/>
    <w:rsid w:val="003B3C85"/>
    <w:rsid w:val="003B7569"/>
    <w:rsid w:val="003C1043"/>
    <w:rsid w:val="003C1ED3"/>
    <w:rsid w:val="003C5E9E"/>
    <w:rsid w:val="003D1C38"/>
    <w:rsid w:val="003D346B"/>
    <w:rsid w:val="003D44AD"/>
    <w:rsid w:val="003D7A6B"/>
    <w:rsid w:val="003D7B36"/>
    <w:rsid w:val="003E09DE"/>
    <w:rsid w:val="003E0C82"/>
    <w:rsid w:val="003E34B0"/>
    <w:rsid w:val="003E386E"/>
    <w:rsid w:val="003E6999"/>
    <w:rsid w:val="003F34E7"/>
    <w:rsid w:val="003F3572"/>
    <w:rsid w:val="00401354"/>
    <w:rsid w:val="00401856"/>
    <w:rsid w:val="004060BA"/>
    <w:rsid w:val="00410A5F"/>
    <w:rsid w:val="0041229A"/>
    <w:rsid w:val="00416DC0"/>
    <w:rsid w:val="00420433"/>
    <w:rsid w:val="00420A02"/>
    <w:rsid w:val="00420FA7"/>
    <w:rsid w:val="00422479"/>
    <w:rsid w:val="004234EA"/>
    <w:rsid w:val="00424D27"/>
    <w:rsid w:val="004278BF"/>
    <w:rsid w:val="004305E6"/>
    <w:rsid w:val="00431C49"/>
    <w:rsid w:val="00436BEE"/>
    <w:rsid w:val="0043715D"/>
    <w:rsid w:val="0043771C"/>
    <w:rsid w:val="00445FC0"/>
    <w:rsid w:val="00447F72"/>
    <w:rsid w:val="00452CC0"/>
    <w:rsid w:val="004537A6"/>
    <w:rsid w:val="004546BE"/>
    <w:rsid w:val="00456D4A"/>
    <w:rsid w:val="00456EAE"/>
    <w:rsid w:val="00457B7D"/>
    <w:rsid w:val="00462D42"/>
    <w:rsid w:val="00465E26"/>
    <w:rsid w:val="004673A5"/>
    <w:rsid w:val="004762A1"/>
    <w:rsid w:val="0048012A"/>
    <w:rsid w:val="00483944"/>
    <w:rsid w:val="00484EBC"/>
    <w:rsid w:val="00485F3F"/>
    <w:rsid w:val="0048625C"/>
    <w:rsid w:val="00497CC2"/>
    <w:rsid w:val="004A1113"/>
    <w:rsid w:val="004A18AC"/>
    <w:rsid w:val="004A23F6"/>
    <w:rsid w:val="004A487B"/>
    <w:rsid w:val="004B086A"/>
    <w:rsid w:val="004B2113"/>
    <w:rsid w:val="004B51C4"/>
    <w:rsid w:val="004B675E"/>
    <w:rsid w:val="004C03C5"/>
    <w:rsid w:val="004C538E"/>
    <w:rsid w:val="004C58CD"/>
    <w:rsid w:val="004D1ABB"/>
    <w:rsid w:val="004D24B4"/>
    <w:rsid w:val="004D34D4"/>
    <w:rsid w:val="004D48CE"/>
    <w:rsid w:val="004D5A6B"/>
    <w:rsid w:val="004D737B"/>
    <w:rsid w:val="004E0051"/>
    <w:rsid w:val="004E0474"/>
    <w:rsid w:val="004E2A77"/>
    <w:rsid w:val="004E392F"/>
    <w:rsid w:val="004E6513"/>
    <w:rsid w:val="004E6AF2"/>
    <w:rsid w:val="004E754D"/>
    <w:rsid w:val="004E7740"/>
    <w:rsid w:val="004F1AED"/>
    <w:rsid w:val="004F2235"/>
    <w:rsid w:val="004F460B"/>
    <w:rsid w:val="004F4C6B"/>
    <w:rsid w:val="004F61AD"/>
    <w:rsid w:val="004F6CC3"/>
    <w:rsid w:val="004F713F"/>
    <w:rsid w:val="0050370D"/>
    <w:rsid w:val="00503F27"/>
    <w:rsid w:val="0050563F"/>
    <w:rsid w:val="0050748D"/>
    <w:rsid w:val="005078A5"/>
    <w:rsid w:val="00507C5F"/>
    <w:rsid w:val="00512C75"/>
    <w:rsid w:val="00514A84"/>
    <w:rsid w:val="00517181"/>
    <w:rsid w:val="005175A9"/>
    <w:rsid w:val="00520D4B"/>
    <w:rsid w:val="005223DF"/>
    <w:rsid w:val="00523DB9"/>
    <w:rsid w:val="005317EB"/>
    <w:rsid w:val="00532661"/>
    <w:rsid w:val="00532DA8"/>
    <w:rsid w:val="005331F2"/>
    <w:rsid w:val="00536B69"/>
    <w:rsid w:val="005405A8"/>
    <w:rsid w:val="00541751"/>
    <w:rsid w:val="00541FF9"/>
    <w:rsid w:val="00555904"/>
    <w:rsid w:val="00556D5C"/>
    <w:rsid w:val="005616CA"/>
    <w:rsid w:val="00564691"/>
    <w:rsid w:val="00567F11"/>
    <w:rsid w:val="00574D6C"/>
    <w:rsid w:val="005804A8"/>
    <w:rsid w:val="00580E9E"/>
    <w:rsid w:val="00582FE9"/>
    <w:rsid w:val="005904D4"/>
    <w:rsid w:val="00590823"/>
    <w:rsid w:val="00591603"/>
    <w:rsid w:val="0059234C"/>
    <w:rsid w:val="00592E7D"/>
    <w:rsid w:val="0059397E"/>
    <w:rsid w:val="00597638"/>
    <w:rsid w:val="005976C9"/>
    <w:rsid w:val="005A432A"/>
    <w:rsid w:val="005A6569"/>
    <w:rsid w:val="005A690B"/>
    <w:rsid w:val="005B2D3E"/>
    <w:rsid w:val="005B62AE"/>
    <w:rsid w:val="005B6911"/>
    <w:rsid w:val="005C1334"/>
    <w:rsid w:val="005C4955"/>
    <w:rsid w:val="005D1F19"/>
    <w:rsid w:val="005E3469"/>
    <w:rsid w:val="005E49F9"/>
    <w:rsid w:val="005E67F4"/>
    <w:rsid w:val="005F3D97"/>
    <w:rsid w:val="005F7E58"/>
    <w:rsid w:val="0060484E"/>
    <w:rsid w:val="0060570D"/>
    <w:rsid w:val="00607391"/>
    <w:rsid w:val="006108E6"/>
    <w:rsid w:val="00616FC0"/>
    <w:rsid w:val="0061777A"/>
    <w:rsid w:val="006239D9"/>
    <w:rsid w:val="006248B1"/>
    <w:rsid w:val="00633677"/>
    <w:rsid w:val="006373AF"/>
    <w:rsid w:val="00640C6A"/>
    <w:rsid w:val="00643B43"/>
    <w:rsid w:val="0064471C"/>
    <w:rsid w:val="00651C79"/>
    <w:rsid w:val="00652E91"/>
    <w:rsid w:val="00653629"/>
    <w:rsid w:val="0065454A"/>
    <w:rsid w:val="00662332"/>
    <w:rsid w:val="006633E4"/>
    <w:rsid w:val="00665268"/>
    <w:rsid w:val="006678F1"/>
    <w:rsid w:val="00670738"/>
    <w:rsid w:val="00672DF6"/>
    <w:rsid w:val="006769F9"/>
    <w:rsid w:val="00680358"/>
    <w:rsid w:val="00681C32"/>
    <w:rsid w:val="00683E49"/>
    <w:rsid w:val="00685337"/>
    <w:rsid w:val="00685B2A"/>
    <w:rsid w:val="00697AF7"/>
    <w:rsid w:val="006A327B"/>
    <w:rsid w:val="006A337A"/>
    <w:rsid w:val="006A4750"/>
    <w:rsid w:val="006A47B6"/>
    <w:rsid w:val="006A48ED"/>
    <w:rsid w:val="006A7207"/>
    <w:rsid w:val="006B1BA2"/>
    <w:rsid w:val="006B6967"/>
    <w:rsid w:val="006B75E8"/>
    <w:rsid w:val="006B7DA9"/>
    <w:rsid w:val="006C038C"/>
    <w:rsid w:val="006C2B1F"/>
    <w:rsid w:val="006C406F"/>
    <w:rsid w:val="006C5F9F"/>
    <w:rsid w:val="006D2914"/>
    <w:rsid w:val="006D4B16"/>
    <w:rsid w:val="006E3C3B"/>
    <w:rsid w:val="006E776E"/>
    <w:rsid w:val="006F1F53"/>
    <w:rsid w:val="006F2703"/>
    <w:rsid w:val="006F3DCC"/>
    <w:rsid w:val="00700627"/>
    <w:rsid w:val="0070202C"/>
    <w:rsid w:val="00702D77"/>
    <w:rsid w:val="00706346"/>
    <w:rsid w:val="007064EB"/>
    <w:rsid w:val="00706F1B"/>
    <w:rsid w:val="00712492"/>
    <w:rsid w:val="007152A4"/>
    <w:rsid w:val="0071676F"/>
    <w:rsid w:val="00717394"/>
    <w:rsid w:val="00721888"/>
    <w:rsid w:val="00722949"/>
    <w:rsid w:val="00724E10"/>
    <w:rsid w:val="007272C6"/>
    <w:rsid w:val="00727371"/>
    <w:rsid w:val="00730DEA"/>
    <w:rsid w:val="007336BD"/>
    <w:rsid w:val="0073386B"/>
    <w:rsid w:val="00733D0C"/>
    <w:rsid w:val="0073418A"/>
    <w:rsid w:val="00742F56"/>
    <w:rsid w:val="00744D4C"/>
    <w:rsid w:val="00745B73"/>
    <w:rsid w:val="00746822"/>
    <w:rsid w:val="007472EB"/>
    <w:rsid w:val="00751838"/>
    <w:rsid w:val="0076104B"/>
    <w:rsid w:val="007620F1"/>
    <w:rsid w:val="00763C0A"/>
    <w:rsid w:val="00764BB5"/>
    <w:rsid w:val="00767CC0"/>
    <w:rsid w:val="00771404"/>
    <w:rsid w:val="007723E0"/>
    <w:rsid w:val="00773A4F"/>
    <w:rsid w:val="00774E22"/>
    <w:rsid w:val="00777B1D"/>
    <w:rsid w:val="0078143E"/>
    <w:rsid w:val="007830AB"/>
    <w:rsid w:val="00783C34"/>
    <w:rsid w:val="00784757"/>
    <w:rsid w:val="00792284"/>
    <w:rsid w:val="00792633"/>
    <w:rsid w:val="00795B76"/>
    <w:rsid w:val="007A023B"/>
    <w:rsid w:val="007A07B0"/>
    <w:rsid w:val="007A4CC9"/>
    <w:rsid w:val="007A61EA"/>
    <w:rsid w:val="007A6AC5"/>
    <w:rsid w:val="007A75D5"/>
    <w:rsid w:val="007B03DE"/>
    <w:rsid w:val="007B1A29"/>
    <w:rsid w:val="007B34AC"/>
    <w:rsid w:val="007C0F83"/>
    <w:rsid w:val="007C5839"/>
    <w:rsid w:val="007C69ED"/>
    <w:rsid w:val="007C7051"/>
    <w:rsid w:val="007D06B8"/>
    <w:rsid w:val="007D2295"/>
    <w:rsid w:val="007D501E"/>
    <w:rsid w:val="007D5424"/>
    <w:rsid w:val="007D78B3"/>
    <w:rsid w:val="007E1F33"/>
    <w:rsid w:val="007E2AE4"/>
    <w:rsid w:val="007E4E5C"/>
    <w:rsid w:val="007F15A7"/>
    <w:rsid w:val="007F31E9"/>
    <w:rsid w:val="007F5229"/>
    <w:rsid w:val="007F5377"/>
    <w:rsid w:val="007F63B0"/>
    <w:rsid w:val="007F7A7B"/>
    <w:rsid w:val="00801DDC"/>
    <w:rsid w:val="00811D5F"/>
    <w:rsid w:val="00813F88"/>
    <w:rsid w:val="0081605E"/>
    <w:rsid w:val="00824D5A"/>
    <w:rsid w:val="00824EF5"/>
    <w:rsid w:val="008311E7"/>
    <w:rsid w:val="008321F2"/>
    <w:rsid w:val="00832244"/>
    <w:rsid w:val="00832668"/>
    <w:rsid w:val="00834998"/>
    <w:rsid w:val="0083613A"/>
    <w:rsid w:val="00842914"/>
    <w:rsid w:val="00845FA9"/>
    <w:rsid w:val="00847B50"/>
    <w:rsid w:val="00852453"/>
    <w:rsid w:val="0085292D"/>
    <w:rsid w:val="00855D2C"/>
    <w:rsid w:val="00861B55"/>
    <w:rsid w:val="00862C19"/>
    <w:rsid w:val="008634F0"/>
    <w:rsid w:val="008637A7"/>
    <w:rsid w:val="00864FBE"/>
    <w:rsid w:val="00871EB6"/>
    <w:rsid w:val="00872335"/>
    <w:rsid w:val="00875464"/>
    <w:rsid w:val="00875ADF"/>
    <w:rsid w:val="008869D9"/>
    <w:rsid w:val="00887524"/>
    <w:rsid w:val="00890AAE"/>
    <w:rsid w:val="00895099"/>
    <w:rsid w:val="0089567D"/>
    <w:rsid w:val="008A5A36"/>
    <w:rsid w:val="008A60B2"/>
    <w:rsid w:val="008B02B5"/>
    <w:rsid w:val="008B15C2"/>
    <w:rsid w:val="008B36F6"/>
    <w:rsid w:val="008B4328"/>
    <w:rsid w:val="008D36F8"/>
    <w:rsid w:val="008D4F17"/>
    <w:rsid w:val="008D64CB"/>
    <w:rsid w:val="008E1390"/>
    <w:rsid w:val="008E366F"/>
    <w:rsid w:val="008E4A2A"/>
    <w:rsid w:val="008E624C"/>
    <w:rsid w:val="008F0E0B"/>
    <w:rsid w:val="008F12C4"/>
    <w:rsid w:val="008F2AF5"/>
    <w:rsid w:val="008F2DE5"/>
    <w:rsid w:val="008F34D2"/>
    <w:rsid w:val="008F4339"/>
    <w:rsid w:val="008F5C32"/>
    <w:rsid w:val="008F6F2A"/>
    <w:rsid w:val="008F7B19"/>
    <w:rsid w:val="0090036F"/>
    <w:rsid w:val="00904110"/>
    <w:rsid w:val="00913367"/>
    <w:rsid w:val="00915B24"/>
    <w:rsid w:val="009242B5"/>
    <w:rsid w:val="00924BC5"/>
    <w:rsid w:val="0092576B"/>
    <w:rsid w:val="00926BE5"/>
    <w:rsid w:val="009304CB"/>
    <w:rsid w:val="00935362"/>
    <w:rsid w:val="00940F6A"/>
    <w:rsid w:val="00941AA7"/>
    <w:rsid w:val="0094543C"/>
    <w:rsid w:val="009454C0"/>
    <w:rsid w:val="009457A3"/>
    <w:rsid w:val="009511F4"/>
    <w:rsid w:val="00951298"/>
    <w:rsid w:val="00951642"/>
    <w:rsid w:val="00953630"/>
    <w:rsid w:val="00953DB6"/>
    <w:rsid w:val="009560E6"/>
    <w:rsid w:val="0096003B"/>
    <w:rsid w:val="00963AC9"/>
    <w:rsid w:val="00963B29"/>
    <w:rsid w:val="00966545"/>
    <w:rsid w:val="00973145"/>
    <w:rsid w:val="00981E97"/>
    <w:rsid w:val="00983403"/>
    <w:rsid w:val="00984352"/>
    <w:rsid w:val="00985300"/>
    <w:rsid w:val="00993E04"/>
    <w:rsid w:val="00996A21"/>
    <w:rsid w:val="009A4AD6"/>
    <w:rsid w:val="009A4B4E"/>
    <w:rsid w:val="009A53E3"/>
    <w:rsid w:val="009A592D"/>
    <w:rsid w:val="009A6735"/>
    <w:rsid w:val="009B0AEF"/>
    <w:rsid w:val="009B21A8"/>
    <w:rsid w:val="009B3EC3"/>
    <w:rsid w:val="009B5851"/>
    <w:rsid w:val="009B67CB"/>
    <w:rsid w:val="009B6F4E"/>
    <w:rsid w:val="009B70EF"/>
    <w:rsid w:val="009C1AC4"/>
    <w:rsid w:val="009C6AFC"/>
    <w:rsid w:val="009D0CB8"/>
    <w:rsid w:val="009D22E3"/>
    <w:rsid w:val="009E1E88"/>
    <w:rsid w:val="009E3456"/>
    <w:rsid w:val="009F03E9"/>
    <w:rsid w:val="009F4844"/>
    <w:rsid w:val="00A0164F"/>
    <w:rsid w:val="00A02516"/>
    <w:rsid w:val="00A04EB0"/>
    <w:rsid w:val="00A07002"/>
    <w:rsid w:val="00A1508A"/>
    <w:rsid w:val="00A152DB"/>
    <w:rsid w:val="00A21335"/>
    <w:rsid w:val="00A2133E"/>
    <w:rsid w:val="00A219B3"/>
    <w:rsid w:val="00A23281"/>
    <w:rsid w:val="00A311B5"/>
    <w:rsid w:val="00A32AA5"/>
    <w:rsid w:val="00A36B28"/>
    <w:rsid w:val="00A36E1F"/>
    <w:rsid w:val="00A37BC0"/>
    <w:rsid w:val="00A46FD9"/>
    <w:rsid w:val="00A4703D"/>
    <w:rsid w:val="00A51889"/>
    <w:rsid w:val="00A545CD"/>
    <w:rsid w:val="00A55DC1"/>
    <w:rsid w:val="00A5619A"/>
    <w:rsid w:val="00A60BBA"/>
    <w:rsid w:val="00A60D1F"/>
    <w:rsid w:val="00A63145"/>
    <w:rsid w:val="00A657C1"/>
    <w:rsid w:val="00A669A4"/>
    <w:rsid w:val="00A66A05"/>
    <w:rsid w:val="00A80F19"/>
    <w:rsid w:val="00A85738"/>
    <w:rsid w:val="00A9480F"/>
    <w:rsid w:val="00A94F38"/>
    <w:rsid w:val="00A9662A"/>
    <w:rsid w:val="00A96EF2"/>
    <w:rsid w:val="00AA04C9"/>
    <w:rsid w:val="00AA1DFE"/>
    <w:rsid w:val="00AA7690"/>
    <w:rsid w:val="00AB414C"/>
    <w:rsid w:val="00AB55B5"/>
    <w:rsid w:val="00AC0C29"/>
    <w:rsid w:val="00AC34C0"/>
    <w:rsid w:val="00AD0ECA"/>
    <w:rsid w:val="00AD289C"/>
    <w:rsid w:val="00AD3AB4"/>
    <w:rsid w:val="00AD5DCC"/>
    <w:rsid w:val="00AD5F61"/>
    <w:rsid w:val="00AE2803"/>
    <w:rsid w:val="00AE36CC"/>
    <w:rsid w:val="00AE3A6E"/>
    <w:rsid w:val="00AE4DE9"/>
    <w:rsid w:val="00AF2630"/>
    <w:rsid w:val="00AF2F1F"/>
    <w:rsid w:val="00AF53C6"/>
    <w:rsid w:val="00B00CA0"/>
    <w:rsid w:val="00B05AB1"/>
    <w:rsid w:val="00B11A77"/>
    <w:rsid w:val="00B132B8"/>
    <w:rsid w:val="00B1494A"/>
    <w:rsid w:val="00B1512B"/>
    <w:rsid w:val="00B17122"/>
    <w:rsid w:val="00B21632"/>
    <w:rsid w:val="00B2199E"/>
    <w:rsid w:val="00B2206F"/>
    <w:rsid w:val="00B2395A"/>
    <w:rsid w:val="00B23F1C"/>
    <w:rsid w:val="00B3263E"/>
    <w:rsid w:val="00B43F88"/>
    <w:rsid w:val="00B441F7"/>
    <w:rsid w:val="00B44F7C"/>
    <w:rsid w:val="00B459C1"/>
    <w:rsid w:val="00B4624A"/>
    <w:rsid w:val="00B47A72"/>
    <w:rsid w:val="00B52503"/>
    <w:rsid w:val="00B54A5D"/>
    <w:rsid w:val="00B56006"/>
    <w:rsid w:val="00B566F3"/>
    <w:rsid w:val="00B57D8E"/>
    <w:rsid w:val="00B600C3"/>
    <w:rsid w:val="00B62DE6"/>
    <w:rsid w:val="00B6456D"/>
    <w:rsid w:val="00B671E8"/>
    <w:rsid w:val="00B67B42"/>
    <w:rsid w:val="00B711F7"/>
    <w:rsid w:val="00B71C5E"/>
    <w:rsid w:val="00B72374"/>
    <w:rsid w:val="00B72DDD"/>
    <w:rsid w:val="00B73899"/>
    <w:rsid w:val="00B749A3"/>
    <w:rsid w:val="00B75AEF"/>
    <w:rsid w:val="00B7641C"/>
    <w:rsid w:val="00B91310"/>
    <w:rsid w:val="00B93387"/>
    <w:rsid w:val="00B97749"/>
    <w:rsid w:val="00BA22D4"/>
    <w:rsid w:val="00BB0706"/>
    <w:rsid w:val="00BC32A2"/>
    <w:rsid w:val="00BC473F"/>
    <w:rsid w:val="00BC544D"/>
    <w:rsid w:val="00BC6D4F"/>
    <w:rsid w:val="00BD3332"/>
    <w:rsid w:val="00BD33A2"/>
    <w:rsid w:val="00BD3D6B"/>
    <w:rsid w:val="00BD3F22"/>
    <w:rsid w:val="00BD5A8C"/>
    <w:rsid w:val="00BE26E9"/>
    <w:rsid w:val="00BE4636"/>
    <w:rsid w:val="00BE58AA"/>
    <w:rsid w:val="00BE68AC"/>
    <w:rsid w:val="00BF117C"/>
    <w:rsid w:val="00BF1898"/>
    <w:rsid w:val="00BF2E26"/>
    <w:rsid w:val="00BF7DA9"/>
    <w:rsid w:val="00C0185A"/>
    <w:rsid w:val="00C023D2"/>
    <w:rsid w:val="00C0382C"/>
    <w:rsid w:val="00C05679"/>
    <w:rsid w:val="00C0731D"/>
    <w:rsid w:val="00C10145"/>
    <w:rsid w:val="00C15017"/>
    <w:rsid w:val="00C22F53"/>
    <w:rsid w:val="00C25873"/>
    <w:rsid w:val="00C30137"/>
    <w:rsid w:val="00C318F4"/>
    <w:rsid w:val="00C33B2C"/>
    <w:rsid w:val="00C34515"/>
    <w:rsid w:val="00C34B50"/>
    <w:rsid w:val="00C41D82"/>
    <w:rsid w:val="00C4289C"/>
    <w:rsid w:val="00C4727B"/>
    <w:rsid w:val="00C47F32"/>
    <w:rsid w:val="00C53A6B"/>
    <w:rsid w:val="00C56CF1"/>
    <w:rsid w:val="00C6179A"/>
    <w:rsid w:val="00C62827"/>
    <w:rsid w:val="00C629CD"/>
    <w:rsid w:val="00C6491F"/>
    <w:rsid w:val="00C6753D"/>
    <w:rsid w:val="00C71230"/>
    <w:rsid w:val="00C721F0"/>
    <w:rsid w:val="00C73509"/>
    <w:rsid w:val="00C755CA"/>
    <w:rsid w:val="00C756A9"/>
    <w:rsid w:val="00C76C89"/>
    <w:rsid w:val="00C772F5"/>
    <w:rsid w:val="00C90652"/>
    <w:rsid w:val="00C91564"/>
    <w:rsid w:val="00C9208F"/>
    <w:rsid w:val="00C92796"/>
    <w:rsid w:val="00C959FE"/>
    <w:rsid w:val="00C95B62"/>
    <w:rsid w:val="00CA2DC3"/>
    <w:rsid w:val="00CA53C5"/>
    <w:rsid w:val="00CA55FF"/>
    <w:rsid w:val="00CB231D"/>
    <w:rsid w:val="00CB2B19"/>
    <w:rsid w:val="00CB4645"/>
    <w:rsid w:val="00CB7C49"/>
    <w:rsid w:val="00CC030D"/>
    <w:rsid w:val="00CC144F"/>
    <w:rsid w:val="00CC6A54"/>
    <w:rsid w:val="00CC7921"/>
    <w:rsid w:val="00CD09CB"/>
    <w:rsid w:val="00CD1193"/>
    <w:rsid w:val="00CD1623"/>
    <w:rsid w:val="00CE1496"/>
    <w:rsid w:val="00CE2843"/>
    <w:rsid w:val="00CE32F6"/>
    <w:rsid w:val="00CE42F0"/>
    <w:rsid w:val="00CE5829"/>
    <w:rsid w:val="00CF3745"/>
    <w:rsid w:val="00CF6622"/>
    <w:rsid w:val="00CF7041"/>
    <w:rsid w:val="00D02DCD"/>
    <w:rsid w:val="00D02E61"/>
    <w:rsid w:val="00D108B6"/>
    <w:rsid w:val="00D146C5"/>
    <w:rsid w:val="00D20F68"/>
    <w:rsid w:val="00D23A0D"/>
    <w:rsid w:val="00D44BA9"/>
    <w:rsid w:val="00D470DA"/>
    <w:rsid w:val="00D5199F"/>
    <w:rsid w:val="00D55D5B"/>
    <w:rsid w:val="00D570C8"/>
    <w:rsid w:val="00D57D43"/>
    <w:rsid w:val="00D63996"/>
    <w:rsid w:val="00D659CC"/>
    <w:rsid w:val="00D66839"/>
    <w:rsid w:val="00D67628"/>
    <w:rsid w:val="00D67D9E"/>
    <w:rsid w:val="00D75097"/>
    <w:rsid w:val="00D86296"/>
    <w:rsid w:val="00D874AA"/>
    <w:rsid w:val="00D8780C"/>
    <w:rsid w:val="00D87AF2"/>
    <w:rsid w:val="00D92CDD"/>
    <w:rsid w:val="00D92D6C"/>
    <w:rsid w:val="00DA0DDF"/>
    <w:rsid w:val="00DA19E6"/>
    <w:rsid w:val="00DA3051"/>
    <w:rsid w:val="00DA32D4"/>
    <w:rsid w:val="00DA5CF2"/>
    <w:rsid w:val="00DB0229"/>
    <w:rsid w:val="00DB0F23"/>
    <w:rsid w:val="00DB2885"/>
    <w:rsid w:val="00DB3B5C"/>
    <w:rsid w:val="00DB4515"/>
    <w:rsid w:val="00DB4EF3"/>
    <w:rsid w:val="00DB509E"/>
    <w:rsid w:val="00DC1F8D"/>
    <w:rsid w:val="00DC477A"/>
    <w:rsid w:val="00DD53F7"/>
    <w:rsid w:val="00DE01C7"/>
    <w:rsid w:val="00DE05E6"/>
    <w:rsid w:val="00DE2FD9"/>
    <w:rsid w:val="00DE41D2"/>
    <w:rsid w:val="00DF1260"/>
    <w:rsid w:val="00DF1A3E"/>
    <w:rsid w:val="00DF3FD7"/>
    <w:rsid w:val="00DF569D"/>
    <w:rsid w:val="00E03A3E"/>
    <w:rsid w:val="00E054D8"/>
    <w:rsid w:val="00E1356A"/>
    <w:rsid w:val="00E15B2C"/>
    <w:rsid w:val="00E17900"/>
    <w:rsid w:val="00E2078A"/>
    <w:rsid w:val="00E21B69"/>
    <w:rsid w:val="00E250D8"/>
    <w:rsid w:val="00E26FBA"/>
    <w:rsid w:val="00E33277"/>
    <w:rsid w:val="00E3349A"/>
    <w:rsid w:val="00E335B5"/>
    <w:rsid w:val="00E3536B"/>
    <w:rsid w:val="00E35AE8"/>
    <w:rsid w:val="00E36070"/>
    <w:rsid w:val="00E45D39"/>
    <w:rsid w:val="00E46506"/>
    <w:rsid w:val="00E469EC"/>
    <w:rsid w:val="00E47AEB"/>
    <w:rsid w:val="00E5034A"/>
    <w:rsid w:val="00E54894"/>
    <w:rsid w:val="00E54F53"/>
    <w:rsid w:val="00E550AC"/>
    <w:rsid w:val="00E554AE"/>
    <w:rsid w:val="00E571FB"/>
    <w:rsid w:val="00E5726F"/>
    <w:rsid w:val="00E6274A"/>
    <w:rsid w:val="00E65D1D"/>
    <w:rsid w:val="00E6658D"/>
    <w:rsid w:val="00E66742"/>
    <w:rsid w:val="00E66CC3"/>
    <w:rsid w:val="00E70079"/>
    <w:rsid w:val="00E71554"/>
    <w:rsid w:val="00E71628"/>
    <w:rsid w:val="00E72970"/>
    <w:rsid w:val="00E74ED5"/>
    <w:rsid w:val="00E80027"/>
    <w:rsid w:val="00E80E3E"/>
    <w:rsid w:val="00E8454F"/>
    <w:rsid w:val="00E845B1"/>
    <w:rsid w:val="00E860AB"/>
    <w:rsid w:val="00E90359"/>
    <w:rsid w:val="00E94593"/>
    <w:rsid w:val="00E94B6D"/>
    <w:rsid w:val="00E96DDF"/>
    <w:rsid w:val="00E972CD"/>
    <w:rsid w:val="00EA10ED"/>
    <w:rsid w:val="00EA136D"/>
    <w:rsid w:val="00EA3031"/>
    <w:rsid w:val="00EA4161"/>
    <w:rsid w:val="00EA4230"/>
    <w:rsid w:val="00EA70FB"/>
    <w:rsid w:val="00EB120F"/>
    <w:rsid w:val="00EB1978"/>
    <w:rsid w:val="00EB4247"/>
    <w:rsid w:val="00EB660F"/>
    <w:rsid w:val="00EB77CA"/>
    <w:rsid w:val="00EC165C"/>
    <w:rsid w:val="00EC1E82"/>
    <w:rsid w:val="00EC69A4"/>
    <w:rsid w:val="00ED205D"/>
    <w:rsid w:val="00ED3364"/>
    <w:rsid w:val="00ED5F82"/>
    <w:rsid w:val="00ED7A15"/>
    <w:rsid w:val="00EE76B2"/>
    <w:rsid w:val="00EF0999"/>
    <w:rsid w:val="00EF6AC2"/>
    <w:rsid w:val="00F009D6"/>
    <w:rsid w:val="00F06362"/>
    <w:rsid w:val="00F06949"/>
    <w:rsid w:val="00F10DD8"/>
    <w:rsid w:val="00F15165"/>
    <w:rsid w:val="00F21E8C"/>
    <w:rsid w:val="00F2362A"/>
    <w:rsid w:val="00F23D81"/>
    <w:rsid w:val="00F32DAE"/>
    <w:rsid w:val="00F36362"/>
    <w:rsid w:val="00F4367C"/>
    <w:rsid w:val="00F43823"/>
    <w:rsid w:val="00F500D3"/>
    <w:rsid w:val="00F51B06"/>
    <w:rsid w:val="00F51E6A"/>
    <w:rsid w:val="00F53AFC"/>
    <w:rsid w:val="00F541FD"/>
    <w:rsid w:val="00F5466E"/>
    <w:rsid w:val="00F56E74"/>
    <w:rsid w:val="00F577D6"/>
    <w:rsid w:val="00F6039C"/>
    <w:rsid w:val="00F60E45"/>
    <w:rsid w:val="00F630EA"/>
    <w:rsid w:val="00F70CAE"/>
    <w:rsid w:val="00F7170C"/>
    <w:rsid w:val="00F71E0C"/>
    <w:rsid w:val="00F80947"/>
    <w:rsid w:val="00F80BB5"/>
    <w:rsid w:val="00F81557"/>
    <w:rsid w:val="00F85016"/>
    <w:rsid w:val="00F86DF9"/>
    <w:rsid w:val="00F86E6F"/>
    <w:rsid w:val="00F91180"/>
    <w:rsid w:val="00F936FD"/>
    <w:rsid w:val="00F938CD"/>
    <w:rsid w:val="00F9650F"/>
    <w:rsid w:val="00F9651D"/>
    <w:rsid w:val="00F97AE1"/>
    <w:rsid w:val="00FA42CA"/>
    <w:rsid w:val="00FA7A17"/>
    <w:rsid w:val="00FB27AD"/>
    <w:rsid w:val="00FB44CD"/>
    <w:rsid w:val="00FC1623"/>
    <w:rsid w:val="00FD17E9"/>
    <w:rsid w:val="00FD3E57"/>
    <w:rsid w:val="00FD533D"/>
    <w:rsid w:val="00FD7CEE"/>
    <w:rsid w:val="00FD7F5E"/>
    <w:rsid w:val="00FE22C2"/>
    <w:rsid w:val="00FE438E"/>
    <w:rsid w:val="00FE78B6"/>
    <w:rsid w:val="00FF0A24"/>
    <w:rsid w:val="00FF1E9C"/>
    <w:rsid w:val="00FF5ACE"/>
    <w:rsid w:val="01340338"/>
    <w:rsid w:val="013C0F41"/>
    <w:rsid w:val="01AA2C9C"/>
    <w:rsid w:val="01ED3E94"/>
    <w:rsid w:val="01FC4887"/>
    <w:rsid w:val="025D0094"/>
    <w:rsid w:val="03A32D40"/>
    <w:rsid w:val="03AA1D2B"/>
    <w:rsid w:val="03DF26A1"/>
    <w:rsid w:val="04052394"/>
    <w:rsid w:val="05055638"/>
    <w:rsid w:val="052538A4"/>
    <w:rsid w:val="05FE4608"/>
    <w:rsid w:val="07A04D47"/>
    <w:rsid w:val="07C210E2"/>
    <w:rsid w:val="07E30082"/>
    <w:rsid w:val="082C2ECD"/>
    <w:rsid w:val="095D02E0"/>
    <w:rsid w:val="0BD14A53"/>
    <w:rsid w:val="0D425BD1"/>
    <w:rsid w:val="0D7E1160"/>
    <w:rsid w:val="0D88223F"/>
    <w:rsid w:val="0E775EE3"/>
    <w:rsid w:val="0EDB3AB8"/>
    <w:rsid w:val="107749DC"/>
    <w:rsid w:val="11200232"/>
    <w:rsid w:val="11EF3F37"/>
    <w:rsid w:val="12FA1594"/>
    <w:rsid w:val="13D026E3"/>
    <w:rsid w:val="13D276BB"/>
    <w:rsid w:val="166B6EFD"/>
    <w:rsid w:val="16AB6ADB"/>
    <w:rsid w:val="16B73DD2"/>
    <w:rsid w:val="177A5496"/>
    <w:rsid w:val="191F1E7B"/>
    <w:rsid w:val="19357421"/>
    <w:rsid w:val="19D600E1"/>
    <w:rsid w:val="1CAA04E0"/>
    <w:rsid w:val="1CF90395"/>
    <w:rsid w:val="1E2D471E"/>
    <w:rsid w:val="1E4A18E9"/>
    <w:rsid w:val="1EB85CE6"/>
    <w:rsid w:val="213D62E5"/>
    <w:rsid w:val="219B6089"/>
    <w:rsid w:val="226D2B5A"/>
    <w:rsid w:val="22B3060F"/>
    <w:rsid w:val="24011A9F"/>
    <w:rsid w:val="24BF27DB"/>
    <w:rsid w:val="2514617C"/>
    <w:rsid w:val="290E0FBE"/>
    <w:rsid w:val="29DB7212"/>
    <w:rsid w:val="2A19284B"/>
    <w:rsid w:val="2A5262AC"/>
    <w:rsid w:val="2BAC4D85"/>
    <w:rsid w:val="2BE635ED"/>
    <w:rsid w:val="2C3D1EFE"/>
    <w:rsid w:val="2D040E5A"/>
    <w:rsid w:val="2DD30E40"/>
    <w:rsid w:val="2EE67B62"/>
    <w:rsid w:val="2FAD532D"/>
    <w:rsid w:val="305441BE"/>
    <w:rsid w:val="326D1565"/>
    <w:rsid w:val="32DF1FCD"/>
    <w:rsid w:val="33082FB4"/>
    <w:rsid w:val="33153309"/>
    <w:rsid w:val="33B65CDB"/>
    <w:rsid w:val="33CE51AA"/>
    <w:rsid w:val="35D330D3"/>
    <w:rsid w:val="36060AC1"/>
    <w:rsid w:val="365171B7"/>
    <w:rsid w:val="378D71D2"/>
    <w:rsid w:val="38A41528"/>
    <w:rsid w:val="38B115C0"/>
    <w:rsid w:val="390135E9"/>
    <w:rsid w:val="3AC050A2"/>
    <w:rsid w:val="3B854F2C"/>
    <w:rsid w:val="3E420325"/>
    <w:rsid w:val="3E9B6ECD"/>
    <w:rsid w:val="3F074F54"/>
    <w:rsid w:val="3FA33FAD"/>
    <w:rsid w:val="3FD025D0"/>
    <w:rsid w:val="419A27CC"/>
    <w:rsid w:val="45A44D00"/>
    <w:rsid w:val="46144FAF"/>
    <w:rsid w:val="464F3C7F"/>
    <w:rsid w:val="46FD5DEC"/>
    <w:rsid w:val="48784207"/>
    <w:rsid w:val="498274F0"/>
    <w:rsid w:val="4A7366B4"/>
    <w:rsid w:val="4BD2026A"/>
    <w:rsid w:val="4E22264D"/>
    <w:rsid w:val="4E431630"/>
    <w:rsid w:val="4E97608F"/>
    <w:rsid w:val="4F057B8D"/>
    <w:rsid w:val="4F167218"/>
    <w:rsid w:val="4F8D452F"/>
    <w:rsid w:val="503472E7"/>
    <w:rsid w:val="522A6EA2"/>
    <w:rsid w:val="527861BF"/>
    <w:rsid w:val="52DE64A3"/>
    <w:rsid w:val="55573AC9"/>
    <w:rsid w:val="55FA79D4"/>
    <w:rsid w:val="56F37A56"/>
    <w:rsid w:val="577B5668"/>
    <w:rsid w:val="588A3234"/>
    <w:rsid w:val="5997771E"/>
    <w:rsid w:val="5B126E48"/>
    <w:rsid w:val="5B265EC4"/>
    <w:rsid w:val="5B62503D"/>
    <w:rsid w:val="5BF13FC0"/>
    <w:rsid w:val="5C796D28"/>
    <w:rsid w:val="5DAB3CC6"/>
    <w:rsid w:val="5E5F1D1E"/>
    <w:rsid w:val="60760EED"/>
    <w:rsid w:val="631008A0"/>
    <w:rsid w:val="63EC6E30"/>
    <w:rsid w:val="64672BD5"/>
    <w:rsid w:val="64867127"/>
    <w:rsid w:val="65AC7AC7"/>
    <w:rsid w:val="65D34540"/>
    <w:rsid w:val="662252CE"/>
    <w:rsid w:val="66BA65DD"/>
    <w:rsid w:val="67881D05"/>
    <w:rsid w:val="67F33FAC"/>
    <w:rsid w:val="6869544A"/>
    <w:rsid w:val="688D5160"/>
    <w:rsid w:val="69D13089"/>
    <w:rsid w:val="6AB412D8"/>
    <w:rsid w:val="6BED7FC4"/>
    <w:rsid w:val="6E60444B"/>
    <w:rsid w:val="6F8C7BD6"/>
    <w:rsid w:val="6FF5E0A4"/>
    <w:rsid w:val="708C2456"/>
    <w:rsid w:val="70C434C1"/>
    <w:rsid w:val="71AA38E5"/>
    <w:rsid w:val="72083027"/>
    <w:rsid w:val="72FB3543"/>
    <w:rsid w:val="73F926F1"/>
    <w:rsid w:val="74431245"/>
    <w:rsid w:val="76816ABE"/>
    <w:rsid w:val="76866AF6"/>
    <w:rsid w:val="769C2157"/>
    <w:rsid w:val="77155079"/>
    <w:rsid w:val="771F3558"/>
    <w:rsid w:val="78633D4E"/>
    <w:rsid w:val="78D270C7"/>
    <w:rsid w:val="795D3FF3"/>
    <w:rsid w:val="7B371773"/>
    <w:rsid w:val="7B4C6231"/>
    <w:rsid w:val="7C0D3568"/>
    <w:rsid w:val="7D6E11ED"/>
    <w:rsid w:val="7D8D21EE"/>
    <w:rsid w:val="7DFDD4F8"/>
    <w:rsid w:val="7E065189"/>
    <w:rsid w:val="7E8E7EA7"/>
    <w:rsid w:val="7EDF11B8"/>
    <w:rsid w:val="BFF30482"/>
    <w:rsid w:val="E4BF1F81"/>
    <w:rsid w:val="F3F947E9"/>
    <w:rsid w:val="F5F98F81"/>
    <w:rsid w:val="FA778957"/>
    <w:rsid w:val="FFE5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qFormat="1" w:uiPriority="99" w:name="endnote reference"/>
    <w:lsdException w:qFormat="1" w:uiPriority="99"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600" w:lineRule="exact"/>
      <w:ind w:firstLine="640" w:firstLineChars="200"/>
      <w:jc w:val="both"/>
    </w:pPr>
    <w:rPr>
      <w:rFonts w:ascii="仿宋" w:hAnsi="仿宋" w:eastAsia="仿宋" w:cs="Times New Roman"/>
      <w:kern w:val="2"/>
      <w:sz w:val="32"/>
      <w:szCs w:val="24"/>
      <w:lang w:val="en-US" w:eastAsia="zh-CN" w:bidi="ar-SA"/>
    </w:rPr>
  </w:style>
  <w:style w:type="paragraph" w:styleId="2">
    <w:name w:val="heading 1"/>
    <w:basedOn w:val="1"/>
    <w:next w:val="1"/>
    <w:link w:val="85"/>
    <w:qFormat/>
    <w:uiPriority w:val="9"/>
    <w:pPr>
      <w:keepNext/>
      <w:keepLines/>
      <w:spacing w:line="240" w:lineRule="auto"/>
      <w:ind w:firstLine="0" w:firstLineChars="0"/>
      <w:jc w:val="left"/>
      <w:outlineLvl w:val="0"/>
    </w:pPr>
    <w:rPr>
      <w:rFonts w:ascii="Times New Roman" w:hAnsi="Times New Roman" w:eastAsia="黑体"/>
      <w:b/>
      <w:bCs/>
      <w:kern w:val="44"/>
      <w:sz w:val="36"/>
      <w:szCs w:val="44"/>
    </w:rPr>
  </w:style>
  <w:style w:type="paragraph" w:styleId="3">
    <w:name w:val="heading 2"/>
    <w:basedOn w:val="1"/>
    <w:next w:val="1"/>
    <w:link w:val="86"/>
    <w:unhideWhenUsed/>
    <w:qFormat/>
    <w:uiPriority w:val="9"/>
    <w:pPr>
      <w:keepNext/>
      <w:keepLines/>
      <w:spacing w:line="240" w:lineRule="auto"/>
      <w:ind w:firstLine="0" w:firstLineChars="0"/>
      <w:outlineLvl w:val="1"/>
    </w:pPr>
    <w:rPr>
      <w:rFonts w:ascii="Times New Roman" w:hAnsi="Times New Roman" w:eastAsia="楷体"/>
      <w:b/>
      <w:bCs/>
      <w:szCs w:val="32"/>
    </w:rPr>
  </w:style>
  <w:style w:type="paragraph" w:styleId="4">
    <w:name w:val="heading 3"/>
    <w:basedOn w:val="1"/>
    <w:next w:val="1"/>
    <w:link w:val="87"/>
    <w:unhideWhenUsed/>
    <w:qFormat/>
    <w:uiPriority w:val="9"/>
    <w:pPr>
      <w:keepNext/>
      <w:keepLines/>
      <w:spacing w:line="240" w:lineRule="auto"/>
      <w:ind w:firstLine="0" w:firstLineChars="0"/>
      <w:outlineLvl w:val="2"/>
    </w:pPr>
    <w:rPr>
      <w:rFonts w:ascii="Times New Roman" w:hAnsi="Times New Roman" w:eastAsia="楷体"/>
      <w:bCs/>
      <w:szCs w:val="32"/>
    </w:rPr>
  </w:style>
  <w:style w:type="paragraph" w:styleId="5">
    <w:name w:val="heading 4"/>
    <w:basedOn w:val="1"/>
    <w:next w:val="1"/>
    <w:link w:val="88"/>
    <w:unhideWhenUsed/>
    <w:qFormat/>
    <w:uiPriority w:val="9"/>
    <w:pPr>
      <w:keepNext/>
      <w:keepLines/>
      <w:spacing w:line="240" w:lineRule="auto"/>
      <w:ind w:firstLine="0" w:firstLineChars="0"/>
      <w:outlineLvl w:val="3"/>
    </w:pPr>
    <w:rPr>
      <w:rFonts w:ascii="Times New Roman" w:hAnsi="Times New Roman" w:eastAsia="楷体"/>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ascii="Calibri" w:hAnsi="Calibri"/>
      <w:sz w:val="18"/>
      <w:szCs w:val="18"/>
    </w:rPr>
  </w:style>
  <w:style w:type="paragraph" w:styleId="7">
    <w:name w:val="Normal Indent"/>
    <w:basedOn w:val="1"/>
    <w:link w:val="120"/>
    <w:qFormat/>
    <w:uiPriority w:val="0"/>
    <w:pPr>
      <w:ind w:firstLine="0" w:firstLineChars="0"/>
      <w:jc w:val="left"/>
    </w:pPr>
    <w:rPr>
      <w:rFonts w:ascii="Times New Roman" w:hAnsi="Times New Roman" w:eastAsia="宋体"/>
      <w:sz w:val="28"/>
    </w:rPr>
  </w:style>
  <w:style w:type="paragraph" w:styleId="8">
    <w:name w:val="caption"/>
    <w:basedOn w:val="1"/>
    <w:next w:val="1"/>
    <w:unhideWhenUsed/>
    <w:qFormat/>
    <w:uiPriority w:val="35"/>
    <w:pPr>
      <w:spacing w:after="200" w:line="276" w:lineRule="auto"/>
      <w:ind w:firstLine="0" w:firstLineChars="0"/>
      <w:jc w:val="left"/>
    </w:pPr>
    <w:rPr>
      <w:rFonts w:ascii="Calibri Light" w:hAnsi="Calibri Light" w:eastAsia="黑体" w:cs="黑体"/>
      <w:sz w:val="20"/>
      <w:szCs w:val="20"/>
      <w:lang w:eastAsia="en-US"/>
    </w:rPr>
  </w:style>
  <w:style w:type="paragraph" w:styleId="9">
    <w:name w:val="Document Map"/>
    <w:basedOn w:val="1"/>
    <w:link w:val="89"/>
    <w:unhideWhenUsed/>
    <w:qFormat/>
    <w:uiPriority w:val="99"/>
    <w:rPr>
      <w:rFonts w:ascii="宋体" w:eastAsia="宋体"/>
      <w:sz w:val="18"/>
      <w:szCs w:val="18"/>
    </w:rPr>
  </w:style>
  <w:style w:type="paragraph" w:styleId="10">
    <w:name w:val="annotation text"/>
    <w:basedOn w:val="1"/>
    <w:link w:val="94"/>
    <w:semiHidden/>
    <w:unhideWhenUsed/>
    <w:qFormat/>
    <w:uiPriority w:val="99"/>
    <w:pPr>
      <w:jc w:val="left"/>
    </w:pPr>
  </w:style>
  <w:style w:type="paragraph" w:styleId="11">
    <w:name w:val="Body Text"/>
    <w:basedOn w:val="1"/>
    <w:link w:val="99"/>
    <w:qFormat/>
    <w:uiPriority w:val="0"/>
    <w:pPr>
      <w:spacing w:after="120"/>
      <w:ind w:firstLine="200"/>
    </w:pPr>
    <w:rPr>
      <w:rFonts w:ascii="Times New Roman" w:hAnsi="Times New Roman"/>
    </w:rPr>
  </w:style>
  <w:style w:type="paragraph" w:styleId="12">
    <w:name w:val="Body Text Indent"/>
    <w:basedOn w:val="1"/>
    <w:link w:val="105"/>
    <w:qFormat/>
    <w:uiPriority w:val="0"/>
    <w:pPr>
      <w:spacing w:after="120"/>
      <w:ind w:left="420" w:leftChars="200" w:firstLine="200"/>
    </w:pPr>
    <w:rPr>
      <w:rFonts w:ascii="Times New Roman" w:hAnsi="Times New Roman" w:eastAsia="仿宋_GB2312"/>
      <w:sz w:val="30"/>
    </w:rPr>
  </w:style>
  <w:style w:type="paragraph" w:styleId="13">
    <w:name w:val="toc 5"/>
    <w:basedOn w:val="1"/>
    <w:next w:val="1"/>
    <w:unhideWhenUsed/>
    <w:qFormat/>
    <w:uiPriority w:val="39"/>
    <w:pPr>
      <w:ind w:left="960"/>
      <w:jc w:val="left"/>
    </w:pPr>
    <w:rPr>
      <w:rFonts w:ascii="Calibri" w:hAnsi="Calibri"/>
      <w:sz w:val="18"/>
      <w:szCs w:val="18"/>
    </w:rPr>
  </w:style>
  <w:style w:type="paragraph" w:styleId="14">
    <w:name w:val="toc 3"/>
    <w:basedOn w:val="1"/>
    <w:next w:val="1"/>
    <w:unhideWhenUsed/>
    <w:qFormat/>
    <w:uiPriority w:val="39"/>
    <w:pPr>
      <w:ind w:left="480"/>
      <w:jc w:val="left"/>
    </w:pPr>
    <w:rPr>
      <w:rFonts w:ascii="Calibri" w:hAnsi="Calibri"/>
      <w:i/>
      <w:iCs/>
      <w:sz w:val="20"/>
      <w:szCs w:val="20"/>
    </w:rPr>
  </w:style>
  <w:style w:type="paragraph" w:styleId="15">
    <w:name w:val="toc 8"/>
    <w:basedOn w:val="1"/>
    <w:next w:val="1"/>
    <w:unhideWhenUsed/>
    <w:qFormat/>
    <w:uiPriority w:val="39"/>
    <w:pPr>
      <w:ind w:left="1680"/>
      <w:jc w:val="left"/>
    </w:pPr>
    <w:rPr>
      <w:rFonts w:ascii="Calibri" w:hAnsi="Calibri"/>
      <w:sz w:val="18"/>
      <w:szCs w:val="18"/>
    </w:rPr>
  </w:style>
  <w:style w:type="paragraph" w:styleId="16">
    <w:name w:val="Date"/>
    <w:basedOn w:val="1"/>
    <w:next w:val="1"/>
    <w:link w:val="97"/>
    <w:qFormat/>
    <w:uiPriority w:val="0"/>
    <w:pPr>
      <w:ind w:left="100" w:leftChars="2500" w:firstLine="200"/>
    </w:pPr>
    <w:rPr>
      <w:rFonts w:ascii="Times New Roman" w:hAnsi="Times New Roman"/>
    </w:rPr>
  </w:style>
  <w:style w:type="paragraph" w:styleId="17">
    <w:name w:val="Body Text Indent 2"/>
    <w:basedOn w:val="1"/>
    <w:link w:val="106"/>
    <w:qFormat/>
    <w:uiPriority w:val="0"/>
    <w:pPr>
      <w:spacing w:after="120" w:line="480" w:lineRule="auto"/>
      <w:ind w:left="420" w:leftChars="200" w:firstLine="200"/>
    </w:pPr>
    <w:rPr>
      <w:rFonts w:ascii="Times New Roman" w:hAnsi="Times New Roman" w:eastAsia="仿宋_GB2312"/>
      <w:sz w:val="30"/>
    </w:rPr>
  </w:style>
  <w:style w:type="paragraph" w:styleId="18">
    <w:name w:val="endnote text"/>
    <w:basedOn w:val="1"/>
    <w:link w:val="96"/>
    <w:semiHidden/>
    <w:unhideWhenUsed/>
    <w:qFormat/>
    <w:uiPriority w:val="99"/>
    <w:pPr>
      <w:snapToGrid w:val="0"/>
      <w:jc w:val="left"/>
    </w:pPr>
  </w:style>
  <w:style w:type="paragraph" w:styleId="19">
    <w:name w:val="Balloon Text"/>
    <w:basedOn w:val="1"/>
    <w:link w:val="90"/>
    <w:semiHidden/>
    <w:unhideWhenUsed/>
    <w:qFormat/>
    <w:uiPriority w:val="99"/>
    <w:pPr>
      <w:spacing w:line="240" w:lineRule="auto"/>
    </w:pPr>
    <w:rPr>
      <w:sz w:val="18"/>
      <w:szCs w:val="18"/>
    </w:rPr>
  </w:style>
  <w:style w:type="paragraph" w:styleId="20">
    <w:name w:val="footer"/>
    <w:basedOn w:val="1"/>
    <w:link w:val="91"/>
    <w:unhideWhenUsed/>
    <w:qFormat/>
    <w:uiPriority w:val="99"/>
    <w:pPr>
      <w:tabs>
        <w:tab w:val="center" w:pos="4153"/>
        <w:tab w:val="right" w:pos="8306"/>
      </w:tabs>
      <w:snapToGrid w:val="0"/>
      <w:jc w:val="left"/>
    </w:pPr>
    <w:rPr>
      <w:sz w:val="18"/>
      <w:szCs w:val="18"/>
    </w:rPr>
  </w:style>
  <w:style w:type="paragraph" w:styleId="21">
    <w:name w:val="header"/>
    <w:basedOn w:val="1"/>
    <w:link w:val="9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before="120" w:after="120"/>
      <w:jc w:val="left"/>
    </w:pPr>
    <w:rPr>
      <w:rFonts w:ascii="Calibri" w:hAnsi="Calibri"/>
      <w:b/>
      <w:bCs/>
      <w:caps/>
      <w:sz w:val="20"/>
      <w:szCs w:val="20"/>
    </w:rPr>
  </w:style>
  <w:style w:type="paragraph" w:styleId="23">
    <w:name w:val="toc 4"/>
    <w:basedOn w:val="1"/>
    <w:next w:val="1"/>
    <w:unhideWhenUsed/>
    <w:qFormat/>
    <w:uiPriority w:val="39"/>
    <w:pPr>
      <w:ind w:left="720"/>
      <w:jc w:val="left"/>
    </w:pPr>
    <w:rPr>
      <w:rFonts w:ascii="Calibri" w:hAnsi="Calibri"/>
      <w:sz w:val="18"/>
      <w:szCs w:val="18"/>
    </w:rPr>
  </w:style>
  <w:style w:type="paragraph" w:styleId="24">
    <w:name w:val="List"/>
    <w:basedOn w:val="1"/>
    <w:qFormat/>
    <w:uiPriority w:val="0"/>
    <w:pPr>
      <w:spacing w:line="240" w:lineRule="exact"/>
      <w:ind w:firstLine="0" w:firstLineChars="0"/>
    </w:pPr>
    <w:rPr>
      <w:rFonts w:ascii="Times New Roman" w:hAnsi="Times New Roman" w:eastAsia="宋体"/>
      <w:sz w:val="21"/>
    </w:rPr>
  </w:style>
  <w:style w:type="paragraph" w:styleId="25">
    <w:name w:val="toc 6"/>
    <w:basedOn w:val="1"/>
    <w:next w:val="1"/>
    <w:unhideWhenUsed/>
    <w:qFormat/>
    <w:uiPriority w:val="39"/>
    <w:pPr>
      <w:ind w:left="1200"/>
      <w:jc w:val="left"/>
    </w:pPr>
    <w:rPr>
      <w:rFonts w:ascii="Calibri" w:hAnsi="Calibri"/>
      <w:sz w:val="18"/>
      <w:szCs w:val="18"/>
    </w:rPr>
  </w:style>
  <w:style w:type="paragraph" w:styleId="26">
    <w:name w:val="toc 2"/>
    <w:basedOn w:val="1"/>
    <w:next w:val="1"/>
    <w:unhideWhenUsed/>
    <w:qFormat/>
    <w:uiPriority w:val="39"/>
    <w:pPr>
      <w:ind w:left="240"/>
      <w:jc w:val="left"/>
    </w:pPr>
    <w:rPr>
      <w:rFonts w:ascii="Calibri" w:hAnsi="Calibri"/>
      <w:smallCaps/>
      <w:sz w:val="20"/>
      <w:szCs w:val="20"/>
    </w:rPr>
  </w:style>
  <w:style w:type="paragraph" w:styleId="27">
    <w:name w:val="toc 9"/>
    <w:basedOn w:val="1"/>
    <w:next w:val="1"/>
    <w:unhideWhenUsed/>
    <w:qFormat/>
    <w:uiPriority w:val="39"/>
    <w:pPr>
      <w:ind w:left="1920"/>
      <w:jc w:val="left"/>
    </w:pPr>
    <w:rPr>
      <w:rFonts w:ascii="Calibri" w:hAnsi="Calibri"/>
      <w:sz w:val="18"/>
      <w:szCs w:val="18"/>
    </w:rPr>
  </w:style>
  <w:style w:type="paragraph" w:styleId="28">
    <w:name w:val="Normal (Web)"/>
    <w:basedOn w:val="1"/>
    <w:unhideWhenUsed/>
    <w:qFormat/>
    <w:uiPriority w:val="99"/>
    <w:pPr>
      <w:spacing w:before="100" w:beforeAutospacing="1" w:after="100" w:afterAutospacing="1"/>
      <w:jc w:val="left"/>
    </w:pPr>
    <w:rPr>
      <w:rFonts w:ascii="宋体" w:hAnsi="宋体" w:eastAsia="宋体"/>
    </w:rPr>
  </w:style>
  <w:style w:type="paragraph" w:styleId="29">
    <w:name w:val="annotation subject"/>
    <w:basedOn w:val="10"/>
    <w:next w:val="10"/>
    <w:link w:val="95"/>
    <w:semiHidden/>
    <w:unhideWhenUsed/>
    <w:qFormat/>
    <w:uiPriority w:val="99"/>
    <w:rPr>
      <w:b/>
      <w:bCs/>
    </w:rPr>
  </w:style>
  <w:style w:type="paragraph" w:styleId="30">
    <w:name w:val="Body Text First Indent"/>
    <w:basedOn w:val="11"/>
    <w:link w:val="98"/>
    <w:qFormat/>
    <w:uiPriority w:val="0"/>
    <w:pPr>
      <w:ind w:firstLine="420" w:firstLineChars="100"/>
    </w:pPr>
    <w:rPr>
      <w:rFonts w:eastAsia="宋体"/>
      <w:sz w:val="21"/>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endnote reference"/>
    <w:semiHidden/>
    <w:unhideWhenUsed/>
    <w:qFormat/>
    <w:uiPriority w:val="99"/>
    <w:rPr>
      <w:vertAlign w:val="superscript"/>
    </w:rPr>
  </w:style>
  <w:style w:type="character" w:styleId="36">
    <w:name w:val="page number"/>
    <w:basedOn w:val="33"/>
    <w:qFormat/>
    <w:uiPriority w:val="0"/>
  </w:style>
  <w:style w:type="character" w:styleId="37">
    <w:name w:val="FollowedHyperlink"/>
    <w:semiHidden/>
    <w:unhideWhenUsed/>
    <w:qFormat/>
    <w:uiPriority w:val="99"/>
    <w:rPr>
      <w:color w:val="800080"/>
      <w:u w:val="single"/>
    </w:rPr>
  </w:style>
  <w:style w:type="character" w:styleId="38">
    <w:name w:val="Hyperlink"/>
    <w:unhideWhenUsed/>
    <w:qFormat/>
    <w:uiPriority w:val="99"/>
    <w:rPr>
      <w:color w:val="0563C1"/>
      <w:u w:val="single"/>
    </w:rPr>
  </w:style>
  <w:style w:type="character" w:styleId="39">
    <w:name w:val="annotation reference"/>
    <w:semiHidden/>
    <w:unhideWhenUsed/>
    <w:qFormat/>
    <w:uiPriority w:val="99"/>
    <w:rPr>
      <w:sz w:val="21"/>
      <w:szCs w:val="21"/>
    </w:rPr>
  </w:style>
  <w:style w:type="paragraph" w:customStyle="1" w:styleId="40">
    <w:name w:val="列出段落1"/>
    <w:basedOn w:val="1"/>
    <w:qFormat/>
    <w:uiPriority w:val="34"/>
    <w:pPr>
      <w:ind w:firstLine="420"/>
    </w:pPr>
  </w:style>
  <w:style w:type="paragraph" w:customStyle="1" w:styleId="41">
    <w:name w:val="TOC 标题1"/>
    <w:basedOn w:val="2"/>
    <w:next w:val="1"/>
    <w:unhideWhenUsed/>
    <w:qFormat/>
    <w:uiPriority w:val="39"/>
    <w:pPr>
      <w:spacing w:before="240" w:line="259" w:lineRule="auto"/>
      <w:outlineLvl w:val="9"/>
    </w:pPr>
    <w:rPr>
      <w:rFonts w:ascii="Calibri Light" w:hAnsi="Calibri Light" w:eastAsia="宋体" w:cs="黑体"/>
      <w:b w:val="0"/>
      <w:bCs w:val="0"/>
      <w:color w:val="2D73B3"/>
      <w:kern w:val="0"/>
      <w:sz w:val="32"/>
      <w:szCs w:val="32"/>
    </w:rPr>
  </w:style>
  <w:style w:type="paragraph" w:customStyle="1" w:styleId="42">
    <w:name w:val="Table Paragraph"/>
    <w:basedOn w:val="1"/>
    <w:qFormat/>
    <w:uiPriority w:val="1"/>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TOC 标题2"/>
    <w:basedOn w:val="2"/>
    <w:next w:val="1"/>
    <w:unhideWhenUsed/>
    <w:qFormat/>
    <w:uiPriority w:val="39"/>
    <w:pPr>
      <w:spacing w:before="240" w:line="259" w:lineRule="auto"/>
      <w:outlineLvl w:val="9"/>
    </w:pPr>
    <w:rPr>
      <w:rFonts w:ascii="Calibri Light" w:hAnsi="Calibri Light" w:eastAsia="宋体" w:cs="黑体"/>
      <w:bCs w:val="0"/>
      <w:color w:val="2D73B3"/>
      <w:kern w:val="0"/>
      <w:sz w:val="32"/>
      <w:szCs w:val="32"/>
    </w:rPr>
  </w:style>
  <w:style w:type="paragraph" w:customStyle="1" w:styleId="46">
    <w:name w:val="msonormal"/>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47">
    <w:name w:val="font0"/>
    <w:basedOn w:val="1"/>
    <w:qFormat/>
    <w:uiPriority w:val="0"/>
    <w:pPr>
      <w:spacing w:before="100" w:beforeAutospacing="1" w:after="100" w:afterAutospacing="1" w:line="240" w:lineRule="auto"/>
      <w:ind w:firstLine="0" w:firstLineChars="0"/>
      <w:jc w:val="left"/>
    </w:pPr>
    <w:rPr>
      <w:rFonts w:ascii="宋体" w:hAnsi="宋体" w:eastAsia="宋体"/>
      <w:color w:val="000000"/>
      <w:sz w:val="22"/>
      <w:szCs w:val="22"/>
    </w:rPr>
  </w:style>
  <w:style w:type="paragraph" w:customStyle="1" w:styleId="48">
    <w:name w:val="font5"/>
    <w:basedOn w:val="1"/>
    <w:qFormat/>
    <w:uiPriority w:val="0"/>
    <w:pPr>
      <w:spacing w:before="100" w:beforeAutospacing="1" w:after="100" w:afterAutospacing="1" w:line="240" w:lineRule="auto"/>
      <w:ind w:firstLine="0" w:firstLineChars="0"/>
      <w:jc w:val="left"/>
    </w:pPr>
    <w:rPr>
      <w:rFonts w:ascii="宋体" w:hAnsi="宋体" w:eastAsia="宋体"/>
      <w:sz w:val="22"/>
      <w:szCs w:val="22"/>
    </w:rPr>
  </w:style>
  <w:style w:type="paragraph" w:customStyle="1" w:styleId="49">
    <w:name w:val="font6"/>
    <w:basedOn w:val="1"/>
    <w:qFormat/>
    <w:uiPriority w:val="0"/>
    <w:pPr>
      <w:spacing w:before="100" w:beforeAutospacing="1" w:after="100" w:afterAutospacing="1" w:line="240" w:lineRule="auto"/>
      <w:ind w:firstLine="0" w:firstLineChars="0"/>
      <w:jc w:val="left"/>
    </w:pPr>
    <w:rPr>
      <w:rFonts w:ascii="Times New Roman" w:hAnsi="Times New Roman" w:eastAsia="宋体"/>
      <w:color w:val="000000"/>
      <w:sz w:val="22"/>
      <w:szCs w:val="22"/>
    </w:rPr>
  </w:style>
  <w:style w:type="paragraph" w:customStyle="1" w:styleId="50">
    <w:name w:val="font7"/>
    <w:basedOn w:val="1"/>
    <w:qFormat/>
    <w:uiPriority w:val="0"/>
    <w:pPr>
      <w:spacing w:before="100" w:beforeAutospacing="1" w:after="100" w:afterAutospacing="1" w:line="240" w:lineRule="auto"/>
      <w:ind w:firstLine="0" w:firstLineChars="0"/>
      <w:jc w:val="left"/>
    </w:pPr>
    <w:rPr>
      <w:rFonts w:ascii="Times New Roman" w:hAnsi="Times New Roman" w:eastAsia="宋体"/>
      <w:sz w:val="22"/>
      <w:szCs w:val="22"/>
    </w:rPr>
  </w:style>
  <w:style w:type="paragraph" w:customStyle="1" w:styleId="51">
    <w:name w:val="font8"/>
    <w:basedOn w:val="1"/>
    <w:qFormat/>
    <w:uiPriority w:val="0"/>
    <w:pPr>
      <w:spacing w:before="100" w:beforeAutospacing="1" w:after="100" w:afterAutospacing="1" w:line="240" w:lineRule="auto"/>
      <w:ind w:firstLine="0" w:firstLineChars="0"/>
      <w:jc w:val="left"/>
    </w:pPr>
    <w:rPr>
      <w:rFonts w:ascii="宋体" w:hAnsi="宋体" w:eastAsia="宋体"/>
      <w:sz w:val="18"/>
      <w:szCs w:val="18"/>
    </w:rPr>
  </w:style>
  <w:style w:type="paragraph" w:customStyle="1" w:styleId="52">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b/>
      <w:bCs/>
    </w:rPr>
  </w:style>
  <w:style w:type="paragraph" w:customStyle="1" w:styleId="5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54">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55">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56">
    <w:name w:val="xl94"/>
    <w:basedOn w:val="1"/>
    <w:qFormat/>
    <w:uiPriority w:val="0"/>
    <w:pPr>
      <w:spacing w:before="100" w:beforeAutospacing="1" w:after="100" w:afterAutospacing="1" w:line="240" w:lineRule="auto"/>
      <w:ind w:firstLine="0" w:firstLineChars="0"/>
      <w:jc w:val="left"/>
    </w:pPr>
    <w:rPr>
      <w:rFonts w:ascii="宋体" w:hAnsi="宋体" w:eastAsia="宋体"/>
      <w:b/>
      <w:bCs/>
    </w:rPr>
  </w:style>
  <w:style w:type="paragraph" w:customStyle="1" w:styleId="57">
    <w:name w:val="xl95"/>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58">
    <w:name w:val="xl96"/>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59">
    <w:name w:val="xl97"/>
    <w:basedOn w:val="1"/>
    <w:qFormat/>
    <w:uiPriority w:val="0"/>
    <w:pPr>
      <w:spacing w:before="100" w:beforeAutospacing="1" w:after="100" w:afterAutospacing="1" w:line="240" w:lineRule="auto"/>
      <w:ind w:firstLine="0" w:firstLineChars="0"/>
      <w:jc w:val="center"/>
    </w:pPr>
    <w:rPr>
      <w:rFonts w:ascii="宋体" w:hAnsi="宋体" w:eastAsia="宋体"/>
    </w:rPr>
  </w:style>
  <w:style w:type="paragraph" w:customStyle="1" w:styleId="60">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b/>
      <w:bCs/>
    </w:rPr>
  </w:style>
  <w:style w:type="paragraph" w:customStyle="1" w:styleId="61">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2">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3">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4">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5">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6">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7">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8">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9">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0">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71">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2">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73">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4">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top"/>
    </w:pPr>
    <w:rPr>
      <w:rFonts w:ascii="宋体" w:hAnsi="宋体" w:eastAsia="宋体"/>
    </w:rPr>
  </w:style>
  <w:style w:type="paragraph" w:customStyle="1" w:styleId="75">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6">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7">
    <w:name w:val="xl115"/>
    <w:basedOn w:val="1"/>
    <w:qFormat/>
    <w:uiPriority w:val="0"/>
    <w:pPr>
      <w:spacing w:before="100" w:beforeAutospacing="1" w:after="100" w:afterAutospacing="1" w:line="240" w:lineRule="auto"/>
      <w:ind w:firstLine="0" w:firstLineChars="0"/>
      <w:jc w:val="center"/>
    </w:pPr>
    <w:rPr>
      <w:rFonts w:ascii="宋体" w:hAnsi="宋体" w:eastAsia="宋体"/>
      <w:b/>
      <w:bCs/>
    </w:rPr>
  </w:style>
  <w:style w:type="paragraph" w:customStyle="1" w:styleId="78">
    <w:name w:val="段"/>
    <w:link w:val="101"/>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79">
    <w:name w:val="样式 (西文) Times New Roman 黑色 段前: 5 磅 段后: 5 磅 行距: 单倍行距 首行缩进:  ..."/>
    <w:basedOn w:val="1"/>
    <w:qFormat/>
    <w:uiPriority w:val="0"/>
    <w:pPr>
      <w:snapToGrid w:val="0"/>
      <w:spacing w:line="360" w:lineRule="auto"/>
      <w:ind w:firstLine="200"/>
    </w:pPr>
    <w:rPr>
      <w:rFonts w:ascii="宋体" w:hAnsi="宋体"/>
      <w:b/>
      <w:sz w:val="28"/>
      <w:szCs w:val="28"/>
    </w:rPr>
  </w:style>
  <w:style w:type="paragraph" w:customStyle="1" w:styleId="80">
    <w:name w:val="zw"/>
    <w:basedOn w:val="1"/>
    <w:qFormat/>
    <w:uiPriority w:val="0"/>
    <w:pPr>
      <w:widowControl/>
      <w:spacing w:before="100" w:beforeAutospacing="1" w:after="100" w:afterAutospacing="1" w:line="440" w:lineRule="atLeast"/>
      <w:ind w:firstLine="200"/>
      <w:jc w:val="left"/>
    </w:pPr>
    <w:rPr>
      <w:rFonts w:ascii="宋体" w:hAnsi="宋体" w:cs="宋体"/>
      <w:kern w:val="0"/>
      <w:sz w:val="22"/>
      <w:szCs w:val="22"/>
    </w:rPr>
  </w:style>
  <w:style w:type="paragraph" w:customStyle="1" w:styleId="81">
    <w:name w:val="报告正文"/>
    <w:basedOn w:val="1"/>
    <w:link w:val="103"/>
    <w:qFormat/>
    <w:uiPriority w:val="0"/>
    <w:pPr>
      <w:adjustRightInd w:val="0"/>
      <w:snapToGrid w:val="0"/>
      <w:spacing w:line="312" w:lineRule="auto"/>
      <w:ind w:firstLine="200"/>
    </w:pPr>
    <w:rPr>
      <w:rFonts w:ascii="宋体" w:hAnsi="Times New Roman" w:eastAsia="宋体"/>
      <w:sz w:val="28"/>
      <w:szCs w:val="20"/>
    </w:rPr>
  </w:style>
  <w:style w:type="paragraph" w:customStyle="1" w:styleId="82">
    <w:name w:val="p0"/>
    <w:basedOn w:val="1"/>
    <w:qFormat/>
    <w:uiPriority w:val="0"/>
    <w:pPr>
      <w:widowControl/>
      <w:spacing w:before="100" w:beforeAutospacing="1" w:after="100" w:afterAutospacing="1"/>
      <w:ind w:firstLine="200"/>
      <w:jc w:val="left"/>
    </w:pPr>
    <w:rPr>
      <w:rFonts w:ascii="宋体" w:hAnsi="宋体" w:cs="宋体"/>
      <w:kern w:val="0"/>
      <w:sz w:val="24"/>
    </w:rPr>
  </w:style>
  <w:style w:type="paragraph" w:customStyle="1" w:styleId="83">
    <w:name w:val="普通(网站)1"/>
    <w:basedOn w:val="1"/>
    <w:qFormat/>
    <w:uiPriority w:val="0"/>
    <w:pPr>
      <w:widowControl/>
      <w:ind w:firstLine="200"/>
      <w:jc w:val="left"/>
    </w:pPr>
    <w:rPr>
      <w:rFonts w:hint="eastAsia" w:ascii="宋体" w:hAnsi="宋体" w:eastAsia="仿宋_GB2312"/>
      <w:color w:val="000000"/>
      <w:sz w:val="24"/>
    </w:rPr>
  </w:style>
  <w:style w:type="paragraph" w:customStyle="1" w:styleId="84">
    <w:name w:val="明显引用1"/>
    <w:basedOn w:val="1"/>
    <w:next w:val="1"/>
    <w:link w:val="112"/>
    <w:qFormat/>
    <w:uiPriority w:val="30"/>
    <w:pPr>
      <w:pBdr>
        <w:top w:val="single" w:color="5B9BD5" w:sz="4" w:space="10"/>
        <w:bottom w:val="single" w:color="5B9BD5" w:sz="4" w:space="10"/>
      </w:pBdr>
      <w:spacing w:before="360" w:after="360"/>
      <w:ind w:left="864" w:right="864" w:firstLine="200"/>
      <w:jc w:val="center"/>
    </w:pPr>
    <w:rPr>
      <w:rFonts w:ascii="Times New Roman" w:hAnsi="Times New Roman"/>
      <w:i/>
      <w:iCs/>
      <w:color w:val="5B9BD5"/>
    </w:rPr>
  </w:style>
  <w:style w:type="character" w:customStyle="1" w:styleId="85">
    <w:name w:val="标题 1 字符"/>
    <w:link w:val="2"/>
    <w:qFormat/>
    <w:uiPriority w:val="9"/>
    <w:rPr>
      <w:rFonts w:eastAsia="黑体"/>
      <w:b/>
      <w:bCs/>
      <w:kern w:val="44"/>
      <w:sz w:val="36"/>
      <w:szCs w:val="44"/>
    </w:rPr>
  </w:style>
  <w:style w:type="character" w:customStyle="1" w:styleId="86">
    <w:name w:val="标题 2 字符"/>
    <w:link w:val="3"/>
    <w:qFormat/>
    <w:uiPriority w:val="9"/>
    <w:rPr>
      <w:rFonts w:eastAsia="楷体"/>
      <w:b/>
      <w:bCs/>
      <w:kern w:val="2"/>
      <w:sz w:val="32"/>
      <w:szCs w:val="32"/>
    </w:rPr>
  </w:style>
  <w:style w:type="character" w:customStyle="1" w:styleId="87">
    <w:name w:val="标题 3 字符"/>
    <w:link w:val="4"/>
    <w:qFormat/>
    <w:uiPriority w:val="9"/>
    <w:rPr>
      <w:rFonts w:eastAsia="楷体"/>
      <w:bCs/>
      <w:kern w:val="2"/>
      <w:sz w:val="32"/>
      <w:szCs w:val="32"/>
    </w:rPr>
  </w:style>
  <w:style w:type="character" w:customStyle="1" w:styleId="88">
    <w:name w:val="标题 4 字符"/>
    <w:link w:val="5"/>
    <w:qFormat/>
    <w:uiPriority w:val="9"/>
    <w:rPr>
      <w:rFonts w:eastAsia="楷体"/>
      <w:bCs/>
      <w:kern w:val="2"/>
      <w:sz w:val="32"/>
      <w:szCs w:val="28"/>
    </w:rPr>
  </w:style>
  <w:style w:type="character" w:customStyle="1" w:styleId="89">
    <w:name w:val="文档结构图 字符"/>
    <w:link w:val="9"/>
    <w:semiHidden/>
    <w:qFormat/>
    <w:uiPriority w:val="99"/>
    <w:rPr>
      <w:rFonts w:ascii="宋体" w:hAnsi="微软雅黑" w:eastAsia="宋体" w:cs="宋体"/>
      <w:color w:val="040404"/>
      <w:sz w:val="18"/>
      <w:szCs w:val="18"/>
      <w:shd w:val="clear" w:color="auto" w:fill="FFFFFF"/>
    </w:rPr>
  </w:style>
  <w:style w:type="character" w:customStyle="1" w:styleId="90">
    <w:name w:val="批注框文本 字符"/>
    <w:link w:val="19"/>
    <w:semiHidden/>
    <w:qFormat/>
    <w:uiPriority w:val="99"/>
    <w:rPr>
      <w:rFonts w:ascii="微软雅黑" w:hAnsi="微软雅黑" w:eastAsia="微软雅黑" w:cs="宋体"/>
      <w:color w:val="040404"/>
      <w:kern w:val="0"/>
      <w:sz w:val="18"/>
      <w:szCs w:val="18"/>
      <w:shd w:val="clear" w:color="auto" w:fill="FFFFFF"/>
    </w:rPr>
  </w:style>
  <w:style w:type="character" w:customStyle="1" w:styleId="91">
    <w:name w:val="页脚 字符"/>
    <w:link w:val="20"/>
    <w:qFormat/>
    <w:uiPriority w:val="99"/>
    <w:rPr>
      <w:sz w:val="18"/>
      <w:szCs w:val="18"/>
    </w:rPr>
  </w:style>
  <w:style w:type="character" w:customStyle="1" w:styleId="92">
    <w:name w:val="页眉 字符"/>
    <w:link w:val="21"/>
    <w:qFormat/>
    <w:uiPriority w:val="99"/>
    <w:rPr>
      <w:sz w:val="18"/>
      <w:szCs w:val="18"/>
    </w:rPr>
  </w:style>
  <w:style w:type="character" w:customStyle="1" w:styleId="93">
    <w:name w:val="标题1"/>
    <w:basedOn w:val="33"/>
    <w:qFormat/>
    <w:uiPriority w:val="0"/>
  </w:style>
  <w:style w:type="character" w:customStyle="1" w:styleId="94">
    <w:name w:val="批注文字 字符"/>
    <w:link w:val="10"/>
    <w:semiHidden/>
    <w:qFormat/>
    <w:uiPriority w:val="99"/>
    <w:rPr>
      <w:rFonts w:ascii="微软雅黑" w:hAnsi="微软雅黑" w:eastAsia="微软雅黑" w:cs="宋体"/>
      <w:color w:val="040404"/>
      <w:sz w:val="24"/>
      <w:szCs w:val="21"/>
      <w:shd w:val="clear" w:color="auto" w:fill="FFFFFF"/>
    </w:rPr>
  </w:style>
  <w:style w:type="character" w:customStyle="1" w:styleId="95">
    <w:name w:val="批注主题 字符"/>
    <w:link w:val="29"/>
    <w:semiHidden/>
    <w:qFormat/>
    <w:uiPriority w:val="99"/>
    <w:rPr>
      <w:rFonts w:ascii="微软雅黑" w:hAnsi="微软雅黑" w:eastAsia="微软雅黑" w:cs="宋体"/>
      <w:b/>
      <w:bCs/>
      <w:color w:val="040404"/>
      <w:sz w:val="24"/>
      <w:szCs w:val="21"/>
      <w:shd w:val="clear" w:color="auto" w:fill="FFFFFF"/>
    </w:rPr>
  </w:style>
  <w:style w:type="character" w:customStyle="1" w:styleId="96">
    <w:name w:val="尾注文本 字符"/>
    <w:link w:val="18"/>
    <w:semiHidden/>
    <w:qFormat/>
    <w:uiPriority w:val="99"/>
    <w:rPr>
      <w:rFonts w:ascii="微软雅黑" w:hAnsi="微软雅黑" w:eastAsia="微软雅黑" w:cs="宋体"/>
      <w:color w:val="040404"/>
      <w:sz w:val="24"/>
      <w:szCs w:val="21"/>
      <w:shd w:val="clear" w:color="auto" w:fill="FFFFFF"/>
    </w:rPr>
  </w:style>
  <w:style w:type="character" w:customStyle="1" w:styleId="97">
    <w:name w:val="日期 字符"/>
    <w:link w:val="16"/>
    <w:qFormat/>
    <w:uiPriority w:val="0"/>
    <w:rPr>
      <w:rFonts w:eastAsia="仿宋"/>
      <w:kern w:val="2"/>
      <w:sz w:val="32"/>
      <w:szCs w:val="24"/>
    </w:rPr>
  </w:style>
  <w:style w:type="character" w:customStyle="1" w:styleId="98">
    <w:name w:val="正文首行缩进 字符1"/>
    <w:link w:val="30"/>
    <w:qFormat/>
    <w:uiPriority w:val="0"/>
    <w:rPr>
      <w:kern w:val="2"/>
      <w:sz w:val="21"/>
      <w:szCs w:val="24"/>
    </w:rPr>
  </w:style>
  <w:style w:type="character" w:customStyle="1" w:styleId="99">
    <w:name w:val="正文文本 字符"/>
    <w:link w:val="11"/>
    <w:qFormat/>
    <w:uiPriority w:val="0"/>
    <w:rPr>
      <w:rFonts w:eastAsia="仿宋"/>
      <w:kern w:val="2"/>
      <w:sz w:val="32"/>
      <w:szCs w:val="24"/>
    </w:rPr>
  </w:style>
  <w:style w:type="character" w:customStyle="1" w:styleId="100">
    <w:name w:val="正文首行缩进 字符"/>
    <w:semiHidden/>
    <w:qFormat/>
    <w:uiPriority w:val="99"/>
    <w:rPr>
      <w:rFonts w:eastAsia="仿宋"/>
      <w:kern w:val="2"/>
      <w:sz w:val="32"/>
      <w:szCs w:val="24"/>
    </w:rPr>
  </w:style>
  <w:style w:type="character" w:customStyle="1" w:styleId="101">
    <w:name w:val="段 Char"/>
    <w:link w:val="78"/>
    <w:qFormat/>
    <w:uiPriority w:val="0"/>
    <w:rPr>
      <w:rFonts w:ascii="宋体" w:eastAsia="Times New Roman"/>
      <w:sz w:val="21"/>
    </w:rPr>
  </w:style>
  <w:style w:type="character" w:customStyle="1" w:styleId="102">
    <w:name w:val="标题 2 Char"/>
    <w:qFormat/>
    <w:uiPriority w:val="99"/>
    <w:rPr>
      <w:rFonts w:eastAsia="楷体"/>
      <w:b/>
      <w:bCs/>
      <w:kern w:val="2"/>
      <w:sz w:val="32"/>
      <w:szCs w:val="32"/>
    </w:rPr>
  </w:style>
  <w:style w:type="character" w:customStyle="1" w:styleId="103">
    <w:name w:val="报告正文 Char"/>
    <w:link w:val="81"/>
    <w:qFormat/>
    <w:uiPriority w:val="0"/>
    <w:rPr>
      <w:rFonts w:ascii="宋体"/>
      <w:kern w:val="2"/>
      <w:sz w:val="28"/>
    </w:rPr>
  </w:style>
  <w:style w:type="character" w:customStyle="1" w:styleId="104">
    <w:name w:val="zw1"/>
    <w:qFormat/>
    <w:uiPriority w:val="0"/>
    <w:rPr>
      <w:rFonts w:hint="eastAsia" w:ascii="宋体" w:hAnsi="宋体" w:eastAsia="宋体"/>
      <w:sz w:val="22"/>
      <w:szCs w:val="22"/>
    </w:rPr>
  </w:style>
  <w:style w:type="character" w:customStyle="1" w:styleId="105">
    <w:name w:val="正文文本缩进 字符"/>
    <w:link w:val="12"/>
    <w:qFormat/>
    <w:uiPriority w:val="0"/>
    <w:rPr>
      <w:rFonts w:eastAsia="仿宋_GB2312"/>
      <w:kern w:val="2"/>
      <w:sz w:val="30"/>
      <w:szCs w:val="24"/>
    </w:rPr>
  </w:style>
  <w:style w:type="character" w:customStyle="1" w:styleId="106">
    <w:name w:val="正文文本缩进 2 字符"/>
    <w:link w:val="17"/>
    <w:qFormat/>
    <w:uiPriority w:val="0"/>
    <w:rPr>
      <w:rFonts w:eastAsia="仿宋_GB2312"/>
      <w:kern w:val="2"/>
      <w:sz w:val="30"/>
      <w:szCs w:val="24"/>
    </w:rPr>
  </w:style>
  <w:style w:type="character" w:customStyle="1" w:styleId="107">
    <w:name w:val="文档结构图 Char"/>
    <w:qFormat/>
    <w:uiPriority w:val="0"/>
    <w:rPr>
      <w:rFonts w:ascii="宋体"/>
      <w:kern w:val="2"/>
      <w:sz w:val="18"/>
      <w:szCs w:val="18"/>
    </w:rPr>
  </w:style>
  <w:style w:type="character" w:customStyle="1" w:styleId="108">
    <w:name w:val="标题 1 Char"/>
    <w:qFormat/>
    <w:uiPriority w:val="9"/>
    <w:rPr>
      <w:rFonts w:eastAsia="黑体"/>
      <w:b/>
      <w:bCs/>
      <w:kern w:val="44"/>
      <w:sz w:val="36"/>
      <w:szCs w:val="44"/>
    </w:rPr>
  </w:style>
  <w:style w:type="character" w:customStyle="1" w:styleId="109">
    <w:name w:val="页眉 Char"/>
    <w:qFormat/>
    <w:uiPriority w:val="0"/>
    <w:rPr>
      <w:kern w:val="2"/>
      <w:sz w:val="18"/>
      <w:szCs w:val="18"/>
    </w:rPr>
  </w:style>
  <w:style w:type="character" w:customStyle="1" w:styleId="110">
    <w:name w:val="style3"/>
    <w:basedOn w:val="33"/>
    <w:qFormat/>
    <w:uiPriority w:val="0"/>
  </w:style>
  <w:style w:type="character" w:customStyle="1" w:styleId="111">
    <w:name w:val="apple-converted-space"/>
    <w:basedOn w:val="33"/>
    <w:qFormat/>
    <w:uiPriority w:val="0"/>
  </w:style>
  <w:style w:type="character" w:customStyle="1" w:styleId="112">
    <w:name w:val="明显引用 字符"/>
    <w:link w:val="84"/>
    <w:qFormat/>
    <w:uiPriority w:val="30"/>
    <w:rPr>
      <w:rFonts w:eastAsia="仿宋"/>
      <w:i/>
      <w:iCs/>
      <w:color w:val="5B9BD5"/>
      <w:kern w:val="2"/>
      <w:sz w:val="32"/>
      <w:szCs w:val="24"/>
    </w:rPr>
  </w:style>
  <w:style w:type="paragraph" w:customStyle="1" w:styleId="113">
    <w:name w:val="正文1"/>
    <w:qFormat/>
    <w:uiPriority w:val="0"/>
    <w:pPr>
      <w:jc w:val="both"/>
    </w:pPr>
    <w:rPr>
      <w:rFonts w:ascii="Calibri" w:hAnsi="Calibri" w:eastAsia="宋体" w:cs="宋体"/>
      <w:kern w:val="2"/>
      <w:sz w:val="21"/>
      <w:szCs w:val="21"/>
      <w:lang w:val="en-US" w:eastAsia="zh-CN" w:bidi="ar-SA"/>
    </w:rPr>
  </w:style>
  <w:style w:type="paragraph" w:customStyle="1" w:styleId="114">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15">
    <w:name w:val="Revision"/>
    <w:hidden/>
    <w:semiHidden/>
    <w:qFormat/>
    <w:uiPriority w:val="99"/>
    <w:rPr>
      <w:rFonts w:ascii="仿宋" w:hAnsi="仿宋" w:eastAsia="仿宋" w:cs="Times New Roman"/>
      <w:kern w:val="2"/>
      <w:sz w:val="32"/>
      <w:szCs w:val="24"/>
      <w:lang w:val="en-US" w:eastAsia="zh-CN" w:bidi="ar-SA"/>
    </w:rPr>
  </w:style>
  <w:style w:type="paragraph" w:customStyle="1" w:styleId="116">
    <w:name w:val="正文3"/>
    <w:qFormat/>
    <w:uiPriority w:val="0"/>
    <w:pPr>
      <w:jc w:val="both"/>
    </w:pPr>
    <w:rPr>
      <w:rFonts w:ascii="Times New Roman" w:hAnsi="Times New Roman" w:eastAsia="宋体" w:cs="Times New Roman"/>
      <w:kern w:val="2"/>
      <w:sz w:val="21"/>
      <w:szCs w:val="21"/>
      <w:lang w:val="en-US" w:eastAsia="zh-CN" w:bidi="ar-SA"/>
    </w:rPr>
  </w:style>
  <w:style w:type="paragraph" w:styleId="117">
    <w:name w:val="List Paragraph"/>
    <w:basedOn w:val="1"/>
    <w:qFormat/>
    <w:uiPriority w:val="34"/>
    <w:pPr>
      <w:ind w:firstLine="420"/>
    </w:pPr>
    <w:rPr>
      <w:rFonts w:ascii="宋体" w:hAnsi="宋体"/>
    </w:rPr>
  </w:style>
  <w:style w:type="table" w:customStyle="1" w:styleId="118">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19">
    <w:name w:val="标题行"/>
    <w:basedOn w:val="24"/>
    <w:next w:val="24"/>
    <w:qFormat/>
    <w:uiPriority w:val="0"/>
    <w:pPr>
      <w:shd w:val="clear" w:color="auto" w:fill="FFFF66"/>
      <w:jc w:val="center"/>
    </w:pPr>
    <w:rPr>
      <w:kern w:val="0"/>
    </w:rPr>
  </w:style>
  <w:style w:type="character" w:customStyle="1" w:styleId="120">
    <w:name w:val="正文缩进 字符"/>
    <w:link w:val="7"/>
    <w:qFormat/>
    <w:uiPriority w:val="0"/>
    <w:rPr>
      <w:kern w:val="2"/>
      <w:sz w:val="28"/>
      <w:szCs w:val="24"/>
    </w:rPr>
  </w:style>
  <w:style w:type="character" w:customStyle="1" w:styleId="121">
    <w:name w:val="font61"/>
    <w:qFormat/>
    <w:uiPriority w:val="0"/>
    <w:rPr>
      <w:rFonts w:hint="eastAsia" w:ascii="宋体" w:hAnsi="宋体" w:eastAsia="宋体" w:cs="宋体"/>
      <w:b/>
      <w:color w:val="auto"/>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CNOOC</Company>
  <Pages>45</Pages>
  <Words>16665</Words>
  <Characters>18154</Characters>
  <Lines>634</Lines>
  <Paragraphs>178</Paragraphs>
  <TotalTime>0</TotalTime>
  <ScaleCrop>false</ScaleCrop>
  <LinksUpToDate>false</LinksUpToDate>
  <CharactersWithSpaces>18640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2020-04-08T06:04:00Z</dcterms:created>
  <dc:creator>zy</dc:creator>
  <cp:lastModifiedBy>ASUS</cp:lastModifiedBy>
  <cp:lastPrinted>2020-11-13T16:15:00Z</cp:lastPrinted>
  <dcterms:modified xsi:type="dcterms:W3CDTF">2023-11-23T02:24:46Z</dcterms:modified>
  <dc:title>海南省生产安全事故灾难应急预案</dc:title>
  <cp:revision>1344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EC22607D55BD42EEAB250100FF0DC582</vt:lpwstr>
  </property>
</Properties>
</file>